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left w:w="0" w:type="dxa"/>
          <w:right w:w="0" w:type="dxa"/>
        </w:tblCellMar>
        <w:tblLook w:val="04A0"/>
      </w:tblPr>
      <w:tblGrid>
        <w:gridCol w:w="9000"/>
      </w:tblGrid>
      <w:tr w:rsidR="00A86C96" w:rsidRPr="00A86C96" w:rsidTr="00A86C96">
        <w:trPr>
          <w:tblCellSpacing w:w="0" w:type="dxa"/>
        </w:trPr>
        <w:tc>
          <w:tcPr>
            <w:tcW w:w="9000" w:type="dxa"/>
            <w:shd w:val="clear" w:color="auto" w:fill="A2C0DF"/>
            <w:vAlign w:val="center"/>
            <w:hideMark/>
          </w:tcPr>
          <w:p w:rsidR="00A86C96" w:rsidRPr="00A86C96" w:rsidRDefault="00A86C96" w:rsidP="00937652">
            <w:pPr>
              <w:jc w:val="center"/>
            </w:pPr>
          </w:p>
        </w:tc>
      </w:tr>
      <w:tr w:rsidR="00A86C96" w:rsidRPr="00A86C96" w:rsidTr="00A86C96">
        <w:trPr>
          <w:trHeight w:val="13770"/>
          <w:tblCellSpacing w:w="0" w:type="dxa"/>
        </w:trPr>
        <w:tc>
          <w:tcPr>
            <w:tcW w:w="0" w:type="auto"/>
            <w:vAlign w:val="center"/>
            <w:hideMark/>
          </w:tcPr>
          <w:p w:rsidR="00A86C96" w:rsidRPr="00A86C96" w:rsidRDefault="00A86C96" w:rsidP="00937652">
            <w:pPr>
              <w:spacing w:before="100" w:beforeAutospacing="1" w:after="100" w:afterAutospacing="1"/>
              <w:jc w:val="center"/>
            </w:pPr>
            <w:r w:rsidRPr="00A86C96">
              <w:t>L I G J</w:t>
            </w:r>
          </w:p>
          <w:p w:rsidR="00A86C96" w:rsidRDefault="00A86C96" w:rsidP="00937652">
            <w:pPr>
              <w:spacing w:before="100" w:beforeAutospacing="1" w:after="100" w:afterAutospacing="1"/>
              <w:jc w:val="center"/>
            </w:pPr>
            <w:r w:rsidRPr="00A86C96">
              <w:t>Nr.8875, datë 4.4.2002</w:t>
            </w:r>
          </w:p>
          <w:p w:rsidR="00C636F5" w:rsidRPr="00C636F5" w:rsidRDefault="00C636F5" w:rsidP="00937652">
            <w:pPr>
              <w:spacing w:before="100" w:beforeAutospacing="1" w:after="100" w:afterAutospacing="1"/>
              <w:jc w:val="center"/>
              <w:rPr>
                <w:i/>
              </w:rPr>
            </w:pPr>
            <w:r>
              <w:t>(</w:t>
            </w:r>
            <w:r w:rsidRPr="00C636F5">
              <w:rPr>
                <w:i/>
              </w:rPr>
              <w:t>ndryshuar me ligjin nr. 9788, dat</w:t>
            </w:r>
            <w:r>
              <w:rPr>
                <w:i/>
              </w:rPr>
              <w:t>ë</w:t>
            </w:r>
            <w:r w:rsidRPr="00C636F5">
              <w:rPr>
                <w:i/>
              </w:rPr>
              <w:t xml:space="preserve"> 19.07.2007)</w:t>
            </w:r>
          </w:p>
          <w:p w:rsidR="00A86C96" w:rsidRPr="00A86C96" w:rsidRDefault="00A86C96" w:rsidP="00937652">
            <w:pPr>
              <w:spacing w:before="100" w:beforeAutospacing="1" w:after="100" w:afterAutospacing="1"/>
              <w:jc w:val="center"/>
            </w:pPr>
            <w:r w:rsidRPr="00A86C96">
              <w:t>PËR ROJËN BREGDETARE SHQIPTARE</w:t>
            </w:r>
          </w:p>
          <w:p w:rsidR="00A86C96" w:rsidRPr="00A86C96" w:rsidRDefault="00A86C96" w:rsidP="00937652">
            <w:pPr>
              <w:spacing w:before="100" w:beforeAutospacing="1" w:after="100" w:afterAutospacing="1"/>
              <w:jc w:val="center"/>
            </w:pPr>
            <w:r w:rsidRPr="00A86C96">
              <w:t>Në mbështetje të neneve 78, 81 pika 1 dhe 83 pika 1 të Kushtetutës, si dhe të kapitullit 3 pika 42 paragrafi i parë të Dokumentit për Politikën e Mbrojtjes së Republikës të Shqipërisë, me propozimin e Këshillit të Ministrave,</w:t>
            </w:r>
          </w:p>
          <w:p w:rsidR="00A86C96" w:rsidRPr="00A86C96" w:rsidRDefault="00A86C96" w:rsidP="00937652">
            <w:pPr>
              <w:spacing w:before="100" w:beforeAutospacing="1" w:after="100" w:afterAutospacing="1"/>
              <w:jc w:val="center"/>
            </w:pPr>
            <w:r w:rsidRPr="00A86C96">
              <w:t>K U V E N D I</w:t>
            </w:r>
          </w:p>
          <w:p w:rsidR="00A86C96" w:rsidRPr="00A86C96" w:rsidRDefault="00A86C96" w:rsidP="00937652">
            <w:pPr>
              <w:spacing w:before="100" w:beforeAutospacing="1" w:after="100" w:afterAutospacing="1"/>
              <w:jc w:val="center"/>
            </w:pPr>
            <w:r w:rsidRPr="00A86C96">
              <w:t>I REPUBLIKËS SË SHQIPËRISË</w:t>
            </w:r>
          </w:p>
          <w:p w:rsidR="00A86C96" w:rsidRPr="00A86C96" w:rsidRDefault="00A86C96" w:rsidP="00937652">
            <w:pPr>
              <w:spacing w:before="100" w:beforeAutospacing="1" w:after="100" w:afterAutospacing="1"/>
              <w:jc w:val="center"/>
            </w:pPr>
            <w:r w:rsidRPr="00A86C96">
              <w:t>V E N D O S I:</w:t>
            </w:r>
          </w:p>
          <w:p w:rsidR="00A86C96" w:rsidRPr="00A86C96" w:rsidRDefault="00A86C96" w:rsidP="00937652">
            <w:pPr>
              <w:spacing w:before="100" w:beforeAutospacing="1" w:after="100" w:afterAutospacing="1"/>
              <w:jc w:val="center"/>
            </w:pPr>
            <w:r w:rsidRPr="00A86C96">
              <w:t>Neni 1</w:t>
            </w:r>
          </w:p>
          <w:p w:rsidR="00A86C96" w:rsidRPr="00A86C96" w:rsidRDefault="00A86C96" w:rsidP="00937652">
            <w:pPr>
              <w:spacing w:before="100" w:beforeAutospacing="1" w:after="100" w:afterAutospacing="1"/>
              <w:jc w:val="center"/>
            </w:pPr>
            <w:r w:rsidRPr="00A86C96">
              <w:t>Qëllimi</w:t>
            </w:r>
          </w:p>
          <w:p w:rsidR="00A86C96" w:rsidRPr="00A86C96" w:rsidRDefault="00A86C96" w:rsidP="00937652">
            <w:pPr>
              <w:spacing w:before="100" w:beforeAutospacing="1" w:after="100" w:afterAutospacing="1"/>
              <w:jc w:val="center"/>
            </w:pPr>
            <w:r w:rsidRPr="00A86C96">
              <w:t>Krijimi i Rojës Bregdetare për zbatimin e ligjshmërisë në det.</w:t>
            </w:r>
          </w:p>
          <w:p w:rsidR="00A86C96" w:rsidRPr="00A86C96" w:rsidRDefault="00A86C96" w:rsidP="00937652">
            <w:pPr>
              <w:spacing w:before="100" w:beforeAutospacing="1" w:after="100" w:afterAutospacing="1"/>
              <w:jc w:val="center"/>
            </w:pPr>
            <w:r w:rsidRPr="00A86C96">
              <w:t>Neni 2</w:t>
            </w:r>
          </w:p>
          <w:p w:rsidR="00A86C96" w:rsidRPr="00A86C96" w:rsidRDefault="00A86C96" w:rsidP="00937652">
            <w:pPr>
              <w:spacing w:before="100" w:beforeAutospacing="1" w:after="100" w:afterAutospacing="1"/>
              <w:jc w:val="center"/>
            </w:pPr>
            <w:r w:rsidRPr="00A86C96">
              <w:t>Përkufizime</w:t>
            </w:r>
          </w:p>
          <w:p w:rsidR="00A86C96" w:rsidRPr="00A86C96" w:rsidRDefault="00A86C96" w:rsidP="00937652">
            <w:pPr>
              <w:spacing w:before="100" w:beforeAutospacing="1" w:after="100" w:afterAutospacing="1"/>
              <w:jc w:val="center"/>
            </w:pPr>
            <w:r w:rsidRPr="00A86C96">
              <w:t>Me termat:</w:t>
            </w:r>
          </w:p>
          <w:p w:rsidR="00A86C96" w:rsidRPr="00A86C96" w:rsidRDefault="00A86C96" w:rsidP="00937652">
            <w:pPr>
              <w:spacing w:before="100" w:beforeAutospacing="1" w:after="100" w:afterAutospacing="1"/>
              <w:jc w:val="center"/>
            </w:pPr>
            <w:r w:rsidRPr="00A86C96">
              <w:t>a) "Rojë Bregdetare" kuptohet struktura, sistemi i vrojtimit të hapësirës detare, personeli, mjetet (anije dhe helikopterë), në përbërje dhe në varësi të Ministrisë së Mbrojtjes.</w:t>
            </w:r>
          </w:p>
          <w:p w:rsidR="00A86C96" w:rsidRPr="00A86C96" w:rsidRDefault="00A86C96" w:rsidP="00937652">
            <w:pPr>
              <w:spacing w:before="100" w:beforeAutospacing="1" w:after="100" w:afterAutospacing="1"/>
              <w:jc w:val="center"/>
            </w:pPr>
            <w:r w:rsidRPr="00A86C96">
              <w:t>b) "Ujëra të brendshme" kuptohet brezi ujor që përfshihet midis vijës bazë dhe vijës bregdetare.</w:t>
            </w:r>
          </w:p>
          <w:p w:rsidR="00A86C96" w:rsidRPr="00A86C96" w:rsidRDefault="00A86C96" w:rsidP="00937652">
            <w:pPr>
              <w:spacing w:before="100" w:beforeAutospacing="1" w:after="100" w:afterAutospacing="1"/>
              <w:jc w:val="center"/>
            </w:pPr>
            <w:r w:rsidRPr="00A86C96">
              <w:t>c) "Vijë bazë" kuptohet tërësia e vijave të drejta që bashkojnë kepet dhe pikat më të dala të bregdetit shqiptar.</w:t>
            </w:r>
          </w:p>
          <w:p w:rsidR="00A86C96" w:rsidRPr="00A86C96" w:rsidRDefault="00A86C96" w:rsidP="00937652">
            <w:pPr>
              <w:spacing w:before="100" w:beforeAutospacing="1" w:after="100" w:afterAutospacing="1"/>
              <w:jc w:val="center"/>
            </w:pPr>
            <w:r w:rsidRPr="00A86C96">
              <w:t>ç) "Deti territorial" kuptohet brezi ujor që përfshihet midis vijës bazë dhe vijës së hequr paralel me të nga ana e detit, në distancën 12 milje vijë detare.</w:t>
            </w:r>
          </w:p>
          <w:p w:rsidR="00A86C96" w:rsidRPr="00A86C96" w:rsidRDefault="00A86C96" w:rsidP="00937652">
            <w:pPr>
              <w:spacing w:before="100" w:beforeAutospacing="1" w:after="100" w:afterAutospacing="1"/>
              <w:jc w:val="center"/>
            </w:pPr>
            <w:r w:rsidRPr="00A86C96">
              <w:t>d) "Zonë fqinje" kuptohet brezi ujor në vazhdim të detit territorial. Zona fqinje shtrihet deri në 24 milje detare nga vija bazë në drejtim të detit të hapur.</w:t>
            </w:r>
          </w:p>
          <w:p w:rsidR="00A86C96" w:rsidRPr="00A86C96" w:rsidRDefault="00A86C96" w:rsidP="00937652">
            <w:pPr>
              <w:spacing w:before="100" w:beforeAutospacing="1" w:after="100" w:afterAutospacing="1"/>
              <w:jc w:val="center"/>
            </w:pPr>
            <w:r w:rsidRPr="00A86C96">
              <w:t>dh) "Zonë ekonomike ekskluzive" kuptohet hapësira ujore në vazhdim të detit territorial deri në vijën e mesme, çdo pikë e së cilës është e baraslarguar nga pikat më të afërta të vijave bazë, përkatësisht të bregdetit shqiptar dhe atij italian.</w:t>
            </w:r>
          </w:p>
          <w:p w:rsidR="00A86C96" w:rsidRPr="00A86C96" w:rsidRDefault="00A86C96" w:rsidP="00937652">
            <w:pPr>
              <w:spacing w:before="100" w:beforeAutospacing="1" w:after="100" w:afterAutospacing="1"/>
              <w:jc w:val="center"/>
            </w:pPr>
            <w:r w:rsidRPr="00A86C96">
              <w:t xml:space="preserve">e) "Ndjekje e nxehtë" kuptohet vazhdimi i operacionit të ndjekjes së mjeteve detare që </w:t>
            </w:r>
            <w:r w:rsidRPr="00A86C96">
              <w:lastRenderedPageBreak/>
              <w:t>shkelin ligjshmërinë në det dhe në mënyrë të hapur nuk i binden autoritetit të Rojës Bregdetare, si dhe tentojnë të kalojnë në ujërat territoriale të shteteve fqinje.</w:t>
            </w:r>
          </w:p>
          <w:p w:rsidR="00A86C96" w:rsidRPr="00A86C96" w:rsidRDefault="00A86C96" w:rsidP="00937652">
            <w:pPr>
              <w:spacing w:before="100" w:beforeAutospacing="1" w:after="100" w:afterAutospacing="1"/>
              <w:jc w:val="center"/>
            </w:pPr>
            <w:r w:rsidRPr="00A86C96">
              <w:t>ë) "Manuali i Rojës Bregdetare" është akti nënligjor në të cilin përcaktohen rregullat bazë dhe procedurat që zbatohen nga Rojat Bregdetare për ushtrimin e ligjshmërisë në det.</w:t>
            </w:r>
          </w:p>
          <w:p w:rsidR="00C636F5" w:rsidRDefault="00C636F5" w:rsidP="00937652">
            <w:pPr>
              <w:pStyle w:val="NormalWeb"/>
              <w:jc w:val="center"/>
            </w:pPr>
            <w:r>
              <w:t>Neni 3</w:t>
            </w:r>
          </w:p>
          <w:p w:rsidR="00C636F5" w:rsidRDefault="00C636F5" w:rsidP="00937652">
            <w:pPr>
              <w:pStyle w:val="NormalWeb"/>
              <w:jc w:val="center"/>
            </w:pPr>
            <w:r>
              <w:t>Varësia e Rojës Bregdetare</w:t>
            </w:r>
          </w:p>
          <w:p w:rsidR="00C636F5" w:rsidRPr="00C636F5" w:rsidRDefault="00C636F5" w:rsidP="00937652">
            <w:pPr>
              <w:pStyle w:val="NormalWeb"/>
              <w:jc w:val="center"/>
              <w:rPr>
                <w:i/>
              </w:rPr>
            </w:pPr>
            <w:r w:rsidRPr="00C636F5">
              <w:rPr>
                <w:i/>
              </w:rPr>
              <w:t>(ndryshuar me ligjin nr. 9788, dat</w:t>
            </w:r>
            <w:r>
              <w:rPr>
                <w:i/>
              </w:rPr>
              <w:t>ë</w:t>
            </w:r>
            <w:r w:rsidRPr="00C636F5">
              <w:rPr>
                <w:i/>
              </w:rPr>
              <w:t xml:space="preserve"> 19.07.2007)</w:t>
            </w:r>
          </w:p>
          <w:p w:rsidR="00C636F5" w:rsidRDefault="00C636F5" w:rsidP="00937652">
            <w:pPr>
              <w:pStyle w:val="NormalWeb"/>
              <w:jc w:val="center"/>
            </w:pPr>
            <w:r>
              <w:t>1. Roja Bregdetare varet nga Ministria e Mbrojtjes. Për drejtimin e operacioneve të Rojës Bregdetare Shqiptare krijohet Qendra Ndërinstitucionale Operacionale Detare (QNOD).</w:t>
            </w:r>
          </w:p>
          <w:p w:rsidR="00C636F5" w:rsidRDefault="00C636F5" w:rsidP="00937652">
            <w:pPr>
              <w:pStyle w:val="NormalWeb"/>
              <w:jc w:val="center"/>
            </w:pPr>
            <w:r>
              <w:t>Në situata operacionale luftarake në kohë paqeje apo lufte, drejtimi e komandimi i Rojës Bregdetare Shqiptare bëhet nga autoritetet ushtarake.</w:t>
            </w:r>
          </w:p>
          <w:p w:rsidR="00C636F5" w:rsidRDefault="00C636F5" w:rsidP="00937652">
            <w:pPr>
              <w:pStyle w:val="NormalWeb"/>
              <w:jc w:val="center"/>
            </w:pPr>
            <w:r>
              <w:t>2. Roja Bregdetare bashkëvepron me institucione dhe subjekte shtetërore ose private, që kanë interesa në det.</w:t>
            </w:r>
          </w:p>
          <w:p w:rsidR="00C636F5" w:rsidRDefault="00C636F5" w:rsidP="00937652">
            <w:pPr>
              <w:pStyle w:val="NormalWeb"/>
              <w:jc w:val="center"/>
            </w:pPr>
            <w:r>
              <w:t>3. Mënyra e bashkëveprimit të Rojës Bregdetare me institucionet shtetërore, që kanë interesa në det, përcaktohet me vendim të Këshillit të Ministrave.</w:t>
            </w:r>
          </w:p>
          <w:p w:rsidR="00C636F5" w:rsidRDefault="00C636F5" w:rsidP="00937652">
            <w:pPr>
              <w:pStyle w:val="NormalWeb"/>
              <w:jc w:val="center"/>
            </w:pPr>
            <w:r>
              <w:t>4. Plani i zhvillimit të kapaciteteve të Rojës Bregdetare Shqiptare miratohet nga Këshilli i Ministrave, me propozimin e Ministrit të Mbrojtjes. Plani hartohet në bashkëpunim me institucionet e përfshira në nenin 32 të ligjit nr.9251, datë 8.7.2004 ''Kodi Detar i Republikës së Shqipërisë"".</w:t>
            </w:r>
          </w:p>
          <w:p w:rsidR="00A86C96" w:rsidRPr="00A86C96" w:rsidRDefault="00A86C96" w:rsidP="00937652">
            <w:pPr>
              <w:spacing w:before="100" w:beforeAutospacing="1" w:after="100" w:afterAutospacing="1"/>
              <w:jc w:val="center"/>
            </w:pPr>
            <w:r w:rsidRPr="00A86C96">
              <w:t>Neni 4</w:t>
            </w:r>
          </w:p>
          <w:p w:rsidR="00A86C96" w:rsidRPr="00A86C96" w:rsidRDefault="00A86C96" w:rsidP="00937652">
            <w:pPr>
              <w:spacing w:before="100" w:beforeAutospacing="1" w:after="100" w:afterAutospacing="1"/>
              <w:jc w:val="center"/>
            </w:pPr>
            <w:r w:rsidRPr="00A86C96">
              <w:t>Struktura organizative dhe mjetet e Rojës Bregdetare</w:t>
            </w:r>
          </w:p>
          <w:p w:rsidR="00A86C96" w:rsidRPr="00A86C96" w:rsidRDefault="00A86C96" w:rsidP="00937652">
            <w:pPr>
              <w:spacing w:before="100" w:beforeAutospacing="1" w:after="100" w:afterAutospacing="1"/>
              <w:jc w:val="center"/>
            </w:pPr>
            <w:r w:rsidRPr="00A86C96">
              <w:t>1. Struktura organizative e Rojës Bregdetare miratohet nga Ministri i Mbrojtjes.</w:t>
            </w:r>
          </w:p>
          <w:p w:rsidR="00A86C96" w:rsidRPr="00A86C96" w:rsidRDefault="00A86C96" w:rsidP="00937652">
            <w:pPr>
              <w:spacing w:before="100" w:beforeAutospacing="1" w:after="100" w:afterAutospacing="1"/>
              <w:jc w:val="center"/>
            </w:pPr>
            <w:r w:rsidRPr="00A86C96">
              <w:t>2. Mjetet, sasia e tyre, personeli, sistemet e vrojtimit dhe të komunikimit, sallat operative përcaktohen në strukturën organizative të Rojës Bregdetare, si pjesë e strukturës së Forcave Detare.</w:t>
            </w:r>
          </w:p>
          <w:p w:rsidR="00A86C96" w:rsidRPr="00A86C96" w:rsidRDefault="00A86C96" w:rsidP="00937652">
            <w:pPr>
              <w:spacing w:before="100" w:beforeAutospacing="1" w:after="100" w:afterAutospacing="1"/>
              <w:jc w:val="center"/>
            </w:pPr>
            <w:r w:rsidRPr="00A86C96">
              <w:t>3. Roja Bregdetare pajiset me mjetet detare që janë të përcaktuara në strukturën organizative të Forcave Detare dhe me mjete ajrore (avionë dhe helikopterë).</w:t>
            </w:r>
          </w:p>
          <w:p w:rsidR="00A86C96" w:rsidRPr="00A86C96" w:rsidRDefault="00A86C96" w:rsidP="00937652">
            <w:pPr>
              <w:spacing w:before="100" w:beforeAutospacing="1" w:after="100" w:afterAutospacing="1"/>
              <w:jc w:val="center"/>
            </w:pPr>
            <w:r w:rsidRPr="00A86C96">
              <w:t>4. Mjetet janë anije, avionë dhe helikopterë ushtarakë. Shenjat dalluese të anijeve dhe avionëve të Rojës Bregdetare janë mbishkrimet "Roja Bregdetare" dhe "Coast Guard", të vendosura në të dy krahët, në pjesën anësore të tyre, së bashku me stemën përkatëse.</w:t>
            </w:r>
          </w:p>
          <w:p w:rsidR="00C636F5" w:rsidRDefault="00C636F5" w:rsidP="00937652">
            <w:pPr>
              <w:pStyle w:val="NormalWeb"/>
              <w:jc w:val="center"/>
            </w:pPr>
            <w:r>
              <w:t>"Neni 4/1</w:t>
            </w:r>
          </w:p>
          <w:p w:rsidR="00C636F5" w:rsidRDefault="00C636F5" w:rsidP="00937652">
            <w:pPr>
              <w:pStyle w:val="NormalWeb"/>
              <w:jc w:val="center"/>
            </w:pPr>
            <w:r>
              <w:t>Drejtimi operacional i Rojës Bregdetare</w:t>
            </w:r>
          </w:p>
          <w:p w:rsidR="00C636F5" w:rsidRPr="00C636F5" w:rsidRDefault="00C636F5" w:rsidP="00937652">
            <w:pPr>
              <w:pStyle w:val="NormalWeb"/>
              <w:jc w:val="center"/>
              <w:rPr>
                <w:i/>
              </w:rPr>
            </w:pPr>
            <w:r w:rsidRPr="00C636F5">
              <w:rPr>
                <w:i/>
              </w:rPr>
              <w:lastRenderedPageBreak/>
              <w:t>(ndryshuar me ligjin nr. 9788, dat</w:t>
            </w:r>
            <w:r>
              <w:rPr>
                <w:i/>
              </w:rPr>
              <w:t>ë</w:t>
            </w:r>
            <w:r w:rsidRPr="00C636F5">
              <w:rPr>
                <w:i/>
              </w:rPr>
              <w:t xml:space="preserve"> 19.07.2007)</w:t>
            </w:r>
          </w:p>
          <w:p w:rsidR="00C636F5" w:rsidRDefault="00C636F5" w:rsidP="00937652">
            <w:pPr>
              <w:pStyle w:val="NormalWeb"/>
              <w:jc w:val="center"/>
            </w:pPr>
            <w:r>
              <w:t>1. Drejtimi operacional i Rojës Bregdetare, përveç rasteve të parashikuara në paragrafin e dytë të nenit 3 të këtij ligji, kryhet nga QNOD-ja.</w:t>
            </w:r>
          </w:p>
          <w:p w:rsidR="00C636F5" w:rsidRDefault="00C636F5" w:rsidP="00937652">
            <w:pPr>
              <w:pStyle w:val="NormalWeb"/>
              <w:jc w:val="center"/>
            </w:pPr>
            <w:r>
              <w:t>2. QNOD-ja ka detyrë organizimin, planëzimin dhe drejtimin e të gjitha operacioneve detare, për kontrollin e zbatimit të legjislacionit kombëtar dhe ndërkombëtar në det, kërkimin, shpëtimin dhe dhënien e ndihmës në hapësirën detare, duke përdorur, në mënyrë të integruar, të gjitha kapacitetet operacionale të disponueshme nga institucionet e përcaktuara në nenin 32 të ligjit nr.9251, datë 8.7.2004 "Kodi Detar i Republikës së Shqipërisë".</w:t>
            </w:r>
          </w:p>
          <w:p w:rsidR="00C636F5" w:rsidRDefault="00C636F5" w:rsidP="00937652">
            <w:pPr>
              <w:pStyle w:val="NormalWeb"/>
              <w:jc w:val="center"/>
            </w:pPr>
            <w:r>
              <w:t>3. Struktura, mënyra e organizimit dhe e funksionimit të QNOD-së përcaktohen me vendim të Këshillit të Ministrave.</w:t>
            </w:r>
          </w:p>
          <w:p w:rsidR="00C636F5" w:rsidRDefault="00C636F5" w:rsidP="00937652">
            <w:pPr>
              <w:pStyle w:val="NormalWeb"/>
              <w:jc w:val="center"/>
            </w:pPr>
            <w:r>
              <w:t>4. Struktura e QNOD-së ka në përbërje personel nga të gjitha institucionet e përcaktuara në nenin 32 të ligjit nr.9251, datë 8.7.2004 "Kodi Detar i Republikës së Shqipërisë"".</w:t>
            </w:r>
          </w:p>
          <w:p w:rsidR="00A86C96" w:rsidRPr="00A86C96" w:rsidRDefault="00A86C96" w:rsidP="00937652">
            <w:pPr>
              <w:spacing w:before="100" w:beforeAutospacing="1" w:after="100" w:afterAutospacing="1"/>
              <w:jc w:val="center"/>
            </w:pPr>
            <w:r w:rsidRPr="00A86C96">
              <w:t>Neni 5</w:t>
            </w:r>
          </w:p>
          <w:p w:rsidR="00A86C96" w:rsidRPr="00A86C96" w:rsidRDefault="00A86C96" w:rsidP="00937652">
            <w:pPr>
              <w:spacing w:before="100" w:beforeAutospacing="1" w:after="100" w:afterAutospacing="1"/>
              <w:jc w:val="center"/>
            </w:pPr>
            <w:r w:rsidRPr="00A86C96">
              <w:t>Detyrat e Rojës Bregdetare</w:t>
            </w:r>
          </w:p>
          <w:p w:rsidR="00A86C96" w:rsidRPr="00A86C96" w:rsidRDefault="00A86C96" w:rsidP="00937652">
            <w:pPr>
              <w:spacing w:before="100" w:beforeAutospacing="1" w:after="100" w:afterAutospacing="1"/>
              <w:jc w:val="center"/>
            </w:pPr>
            <w:r w:rsidRPr="00A86C96">
              <w:t>1. Roja Bregdetare ka për detyrë:</w:t>
            </w:r>
          </w:p>
          <w:p w:rsidR="00A86C96" w:rsidRPr="00A86C96" w:rsidRDefault="00A86C96" w:rsidP="00937652">
            <w:pPr>
              <w:spacing w:before="100" w:beforeAutospacing="1" w:after="100" w:afterAutospacing="1"/>
              <w:jc w:val="center"/>
            </w:pPr>
            <w:r w:rsidRPr="00A86C96">
              <w:t>a) të zbatojë legjislacionin shqiptar dhe aktet e normat e së drejtës ndërkombëtare, të pranuara nga Republika e Shqipërisë, në hapësirën detare shqiptare;</w:t>
            </w:r>
          </w:p>
          <w:p w:rsidR="00A86C96" w:rsidRPr="00A86C96" w:rsidRDefault="00A86C96" w:rsidP="00937652">
            <w:pPr>
              <w:spacing w:before="100" w:beforeAutospacing="1" w:after="100" w:afterAutospacing="1"/>
              <w:jc w:val="center"/>
            </w:pPr>
            <w:r w:rsidRPr="00A86C96">
              <w:t>b) të japë asistencë për sigurimin e lundrimit detar dhe sigurimin e jetës në det (SAR), në përputhje me legjislacionin kombëtar dhe konventat ndërkombëtare, në të cilat Republika e Shqipërisë bën pjesë, i ka ratifikuar ose ka aderuar në to;</w:t>
            </w:r>
          </w:p>
          <w:p w:rsidR="00A86C96" w:rsidRPr="00A86C96" w:rsidRDefault="00A86C96" w:rsidP="00937652">
            <w:pPr>
              <w:spacing w:before="100" w:beforeAutospacing="1" w:after="100" w:afterAutospacing="1"/>
              <w:jc w:val="center"/>
            </w:pPr>
            <w:r w:rsidRPr="00A86C96">
              <w:t>c) të parandalojë dhe të ushtrojë kontroll për kalimin e paligjshëm të mjeteve lundruese, të mallrave dhe njerëzve në hapësirën detare shqiptare;</w:t>
            </w:r>
          </w:p>
          <w:p w:rsidR="00A86C96" w:rsidRPr="00A86C96" w:rsidRDefault="00A86C96" w:rsidP="00937652">
            <w:pPr>
              <w:spacing w:before="100" w:beforeAutospacing="1" w:after="100" w:afterAutospacing="1"/>
              <w:jc w:val="center"/>
            </w:pPr>
            <w:r w:rsidRPr="00A86C96">
              <w:t>ç) të kryejë afrim, bordim, inspektim, ndalim, kapje dhe bllokim të mjeteve dhe personave që shkelin legjislacionin detar, si dhe shoqërimin e tyre në portin më të afërt, sipas rastit;</w:t>
            </w:r>
          </w:p>
          <w:p w:rsidR="00A86C96" w:rsidRPr="00A86C96" w:rsidRDefault="00A86C96" w:rsidP="00937652">
            <w:pPr>
              <w:spacing w:before="100" w:beforeAutospacing="1" w:after="100" w:afterAutospacing="1"/>
              <w:jc w:val="center"/>
            </w:pPr>
            <w:r w:rsidRPr="00A86C96">
              <w:t>d) të kryejë ndjekjen e nxehtë të mjeteve detare, sipas konventave ndërkombëtare;</w:t>
            </w:r>
          </w:p>
          <w:p w:rsidR="00A86C96" w:rsidRPr="00A86C96" w:rsidRDefault="00A86C96" w:rsidP="00937652">
            <w:pPr>
              <w:spacing w:before="100" w:beforeAutospacing="1" w:after="100" w:afterAutospacing="1"/>
              <w:jc w:val="center"/>
            </w:pPr>
            <w:r w:rsidRPr="00A86C96">
              <w:t>dh) të kryejë përdorimin e forcës në rastet e mbrojtjes së nevojshme dhe nevojës ekstreme;</w:t>
            </w:r>
          </w:p>
          <w:p w:rsidR="00A86C96" w:rsidRPr="00A86C96" w:rsidRDefault="00A86C96" w:rsidP="00937652">
            <w:pPr>
              <w:spacing w:before="100" w:beforeAutospacing="1" w:after="100" w:afterAutospacing="1"/>
              <w:jc w:val="center"/>
            </w:pPr>
            <w:r w:rsidRPr="00A86C96">
              <w:t>e) të kryejë përpilimin e dokumentacionit bazë për fillimin e procedurave të mëtejshme për shkelësit e ligjit detar;</w:t>
            </w:r>
          </w:p>
          <w:p w:rsidR="00A86C96" w:rsidRPr="00A86C96" w:rsidRDefault="00A86C96" w:rsidP="00937652">
            <w:pPr>
              <w:spacing w:before="100" w:beforeAutospacing="1" w:after="100" w:afterAutospacing="1"/>
              <w:jc w:val="center"/>
            </w:pPr>
            <w:r w:rsidRPr="00A86C96">
              <w:t>ë) të parandalojë dhe të ushtrojë kontroll për zbatimin e legjislacionit për ndotjen e mjedisit detar dhe bregdetar (MARPOL);</w:t>
            </w:r>
          </w:p>
          <w:p w:rsidR="00A86C96" w:rsidRPr="00A86C96" w:rsidRDefault="00A86C96" w:rsidP="00937652">
            <w:pPr>
              <w:spacing w:before="100" w:beforeAutospacing="1" w:after="100" w:afterAutospacing="1"/>
              <w:jc w:val="center"/>
            </w:pPr>
            <w:r w:rsidRPr="00A86C96">
              <w:t>f) të ushtrojë kontroll në zbatimin e legjislacionit për peshkimin detar;</w:t>
            </w:r>
          </w:p>
          <w:p w:rsidR="00A86C96" w:rsidRPr="00A86C96" w:rsidRDefault="00A86C96" w:rsidP="00937652">
            <w:pPr>
              <w:spacing w:before="100" w:beforeAutospacing="1" w:after="100" w:afterAutospacing="1"/>
              <w:jc w:val="center"/>
            </w:pPr>
            <w:r w:rsidRPr="00A86C96">
              <w:t>g) të ushtrojë kontroll në zbatimin e legjislacionit për lundrimin turistik;</w:t>
            </w:r>
          </w:p>
          <w:p w:rsidR="00A86C96" w:rsidRPr="00A86C96" w:rsidRDefault="00A86C96" w:rsidP="00937652">
            <w:pPr>
              <w:spacing w:before="100" w:beforeAutospacing="1" w:after="100" w:afterAutospacing="1"/>
              <w:jc w:val="center"/>
            </w:pPr>
            <w:r w:rsidRPr="00A86C96">
              <w:t xml:space="preserve">gj) të ushtrojë kontroll në zbatimin e legjislacionit për ruajtjen e pasurive detare, nëndetare </w:t>
            </w:r>
            <w:r w:rsidRPr="00A86C96">
              <w:lastRenderedPageBreak/>
              <w:t>dhe të fundit të detit;</w:t>
            </w:r>
          </w:p>
          <w:p w:rsidR="00A86C96" w:rsidRPr="00A86C96" w:rsidRDefault="00A86C96" w:rsidP="00937652">
            <w:pPr>
              <w:spacing w:before="100" w:beforeAutospacing="1" w:after="100" w:afterAutospacing="1"/>
              <w:jc w:val="center"/>
            </w:pPr>
            <w:r w:rsidRPr="00A86C96">
              <w:t xml:space="preserve">h) </w:t>
            </w:r>
            <w:proofErr w:type="gramStart"/>
            <w:r w:rsidRPr="00A86C96">
              <w:t>të</w:t>
            </w:r>
            <w:proofErr w:type="gramEnd"/>
            <w:r w:rsidRPr="00A86C96">
              <w:t xml:space="preserve"> ushtrojë kontroll në zbatimin e legjislacionit për ruajtjen e vlerave arkeologjike dhe kulturore në hapësirën detare shqiptare.</w:t>
            </w:r>
          </w:p>
          <w:p w:rsidR="00A86C96" w:rsidRPr="00A86C96" w:rsidRDefault="00A86C96" w:rsidP="00937652">
            <w:pPr>
              <w:spacing w:before="100" w:beforeAutospacing="1" w:after="100" w:afterAutospacing="1"/>
              <w:jc w:val="center"/>
            </w:pPr>
            <w:r w:rsidRPr="00A86C96">
              <w:t>2. Roja Bregdetare i ushtron detyrat e mësipërme në detin territorial, në zonën fqinje, dhe në zonën ekonomike ekskluzive.</w:t>
            </w:r>
          </w:p>
          <w:p w:rsidR="00A86C96" w:rsidRPr="00A86C96" w:rsidRDefault="00A86C96" w:rsidP="00937652">
            <w:pPr>
              <w:spacing w:before="100" w:beforeAutospacing="1" w:after="100" w:afterAutospacing="1"/>
              <w:jc w:val="center"/>
            </w:pPr>
            <w:r w:rsidRPr="00A86C96">
              <w:t>Në ujërat e brendshme Roja Bregdetare ofron ndihmë dhe ba shkëpunon me Policinë Kufitare, me kapitaneritë e porteve e me institucione të tjera shtetërore.</w:t>
            </w:r>
          </w:p>
          <w:p w:rsidR="00A86C96" w:rsidRPr="00A86C96" w:rsidRDefault="00A86C96" w:rsidP="00937652">
            <w:pPr>
              <w:spacing w:before="100" w:beforeAutospacing="1" w:after="100" w:afterAutospacing="1"/>
              <w:jc w:val="center"/>
            </w:pPr>
            <w:r w:rsidRPr="00A86C96">
              <w:t>3. Procedurat për kryerjen e detyrave nga Roja Bregdetare përcaktohen në Manualin e Rojës Bregdetare.</w:t>
            </w:r>
          </w:p>
          <w:p w:rsidR="00A86C96" w:rsidRPr="00A86C96" w:rsidRDefault="00A86C96" w:rsidP="00937652">
            <w:pPr>
              <w:spacing w:before="100" w:beforeAutospacing="1" w:after="100" w:afterAutospacing="1"/>
              <w:jc w:val="center"/>
            </w:pPr>
            <w:r w:rsidRPr="00A86C96">
              <w:t>4. Për kryerjen e detyrave të lartpërmendura, oficerët e Rojës Bregdetare gëzojnë statusin e Policisë Gjyqësore, në përputhje me aktet ligjore dhe nënligjore në fuqi.</w:t>
            </w:r>
          </w:p>
          <w:p w:rsidR="00A86C96" w:rsidRPr="00A86C96" w:rsidRDefault="00A86C96" w:rsidP="00937652">
            <w:pPr>
              <w:spacing w:before="100" w:beforeAutospacing="1" w:after="100" w:afterAutospacing="1"/>
              <w:jc w:val="center"/>
            </w:pPr>
            <w:r w:rsidRPr="00A86C96">
              <w:t>Neni 6</w:t>
            </w:r>
          </w:p>
          <w:p w:rsidR="00A86C96" w:rsidRPr="00A86C96" w:rsidRDefault="00A86C96" w:rsidP="00937652">
            <w:pPr>
              <w:spacing w:before="100" w:beforeAutospacing="1" w:after="100" w:afterAutospacing="1"/>
              <w:jc w:val="center"/>
            </w:pPr>
            <w:r w:rsidRPr="00A86C96">
              <w:t>Kundërvajtjet administrative</w:t>
            </w:r>
          </w:p>
          <w:p w:rsidR="00A86C96" w:rsidRPr="00A86C96" w:rsidRDefault="00A86C96" w:rsidP="00937652">
            <w:pPr>
              <w:spacing w:before="100" w:beforeAutospacing="1" w:after="100" w:afterAutospacing="1"/>
              <w:jc w:val="center"/>
            </w:pPr>
            <w:r w:rsidRPr="00A86C96">
              <w:t>1. Për shkeljet e dispozitave të këtij ligji dhe të rregullave të përcaktuara në Manualin e Rojës Bregdetare zbatohen masat e parashikuara në ligjin nr.7697, datë 7.4.1993 "Për kundërvajtjet administrative", me ndryshimet përkatëse.</w:t>
            </w:r>
          </w:p>
          <w:p w:rsidR="00A86C96" w:rsidRPr="00A86C96" w:rsidRDefault="00A86C96" w:rsidP="00937652">
            <w:pPr>
              <w:spacing w:before="100" w:beforeAutospacing="1" w:after="100" w:afterAutospacing="1"/>
              <w:jc w:val="center"/>
            </w:pPr>
            <w:r w:rsidRPr="00A86C96">
              <w:t>2. Autoriteti i Rojës Bregdetare ushtron të drejtën e dhënies së masës për kundërvajtjet administrative, në përputhje me ligjet që rregullojnë veprimtarinë e institucioneve me përgjegjësi dhe interesa në det.</w:t>
            </w:r>
          </w:p>
          <w:p w:rsidR="00A86C96" w:rsidRPr="00A86C96" w:rsidRDefault="00A86C96" w:rsidP="00937652">
            <w:pPr>
              <w:spacing w:before="100" w:beforeAutospacing="1" w:after="100" w:afterAutospacing="1"/>
              <w:jc w:val="center"/>
            </w:pPr>
            <w:r w:rsidRPr="00A86C96">
              <w:t>Neni 7</w:t>
            </w:r>
          </w:p>
          <w:p w:rsidR="00A86C96" w:rsidRPr="00A86C96" w:rsidRDefault="00A86C96" w:rsidP="00937652">
            <w:pPr>
              <w:spacing w:before="100" w:beforeAutospacing="1" w:after="100" w:afterAutospacing="1"/>
              <w:jc w:val="center"/>
            </w:pPr>
            <w:r w:rsidRPr="00A86C96">
              <w:t>Fusha e veprimit dhe e bashkëpunimit</w:t>
            </w:r>
          </w:p>
          <w:p w:rsidR="00A86C96" w:rsidRPr="00A86C96" w:rsidRDefault="00A86C96" w:rsidP="00937652">
            <w:pPr>
              <w:spacing w:before="100" w:beforeAutospacing="1" w:after="100" w:afterAutospacing="1"/>
              <w:jc w:val="center"/>
            </w:pPr>
            <w:r w:rsidRPr="00A86C96">
              <w:t>1. Në detin territorial, në zonën fqinje dhe në zonën ekonomike ekskluzive, kompetencat e Rojës Bregdetare janë parësore për realizimin e detyrave të përcaktuara në nenin 5 të këtij ligji, si dhe të detyrimeve që rrjedhin nga marrëveshjet ndërkombëtare, në të cilat Republika e Shqipërisë është palë.</w:t>
            </w:r>
          </w:p>
          <w:p w:rsidR="00A86C96" w:rsidRPr="00A86C96" w:rsidRDefault="00A86C96" w:rsidP="00937652">
            <w:pPr>
              <w:spacing w:before="100" w:beforeAutospacing="1" w:after="100" w:afterAutospacing="1"/>
              <w:jc w:val="center"/>
            </w:pPr>
            <w:r w:rsidRPr="00A86C96">
              <w:t>2. Në hapësirën detare shqiptare, Roja Bregdetare u ofron ndihmë dhe bashkëpunim subjekteve juridike e fizike, vendase dhe të huaja, në përputhje me legjislacionin shqiptar dhe me aktet e normat e së drejtës ndërkombëtare për detin, të pranuara nga Republika e Shqipërisë.</w:t>
            </w:r>
          </w:p>
          <w:p w:rsidR="00A86C96" w:rsidRPr="00A86C96" w:rsidRDefault="00A86C96" w:rsidP="00937652">
            <w:pPr>
              <w:spacing w:before="100" w:beforeAutospacing="1" w:after="100" w:afterAutospacing="1"/>
              <w:jc w:val="center"/>
            </w:pPr>
            <w:r w:rsidRPr="00A86C96">
              <w:t>Neni 8</w:t>
            </w:r>
          </w:p>
          <w:p w:rsidR="00A86C96" w:rsidRPr="00A86C96" w:rsidRDefault="00A86C96" w:rsidP="00937652">
            <w:pPr>
              <w:spacing w:before="100" w:beforeAutospacing="1" w:after="100" w:afterAutospacing="1"/>
              <w:jc w:val="center"/>
            </w:pPr>
            <w:r w:rsidRPr="00A86C96">
              <w:t>Burimet financiare</w:t>
            </w:r>
          </w:p>
          <w:p w:rsidR="00A86C96" w:rsidRPr="00A86C96" w:rsidRDefault="00A86C96" w:rsidP="00937652">
            <w:pPr>
              <w:spacing w:before="100" w:beforeAutospacing="1" w:after="100" w:afterAutospacing="1"/>
              <w:jc w:val="center"/>
            </w:pPr>
            <w:r w:rsidRPr="00A86C96">
              <w:t>1. Burimet financiare për pajisjen me mjete, stërvitjen e personelit dhe funksionimin e Rojës Bregdetare përballohen nga buxheti i Ministrisë së Mbrojtjes si zë i veçantë.</w:t>
            </w:r>
          </w:p>
          <w:p w:rsidR="00A86C96" w:rsidRPr="00A86C96" w:rsidRDefault="00A86C96" w:rsidP="00937652">
            <w:pPr>
              <w:spacing w:before="100" w:beforeAutospacing="1" w:after="100" w:afterAutospacing="1"/>
              <w:jc w:val="center"/>
            </w:pPr>
            <w:r w:rsidRPr="00A86C96">
              <w:t xml:space="preserve">2. Në rastet kur në mjetet detare dhe ajrore të Rojës Bregdetare kërkohet instalimi i </w:t>
            </w:r>
            <w:r w:rsidRPr="00A86C96">
              <w:lastRenderedPageBreak/>
              <w:t>impianteve, mekanizmave, aparaturave, pajisjeve ose teknologjisë së veçantë, në interes të realizimit të detyrave specifike të ministrive, institucioneve të ndryshme, si dhe shërbimet e tjera në interes të tyre, mbështetja financiare për këtë qëllim bëhet nga institucionet shtetërore ose private të interesuara ose nga Buxheti i Shtetit.</w:t>
            </w:r>
          </w:p>
          <w:p w:rsidR="00A86C96" w:rsidRPr="00A86C96" w:rsidRDefault="00A86C96" w:rsidP="00937652">
            <w:pPr>
              <w:spacing w:before="100" w:beforeAutospacing="1" w:after="100" w:afterAutospacing="1"/>
              <w:jc w:val="center"/>
            </w:pPr>
            <w:r w:rsidRPr="00A86C96">
              <w:t>Neni 9</w:t>
            </w:r>
          </w:p>
          <w:p w:rsidR="00A86C96" w:rsidRPr="00A86C96" w:rsidRDefault="00A86C96" w:rsidP="00937652">
            <w:pPr>
              <w:spacing w:before="100" w:beforeAutospacing="1" w:after="100" w:afterAutospacing="1"/>
              <w:jc w:val="center"/>
            </w:pPr>
            <w:r w:rsidRPr="00A86C96">
              <w:t>Masat administrative</w:t>
            </w:r>
          </w:p>
          <w:p w:rsidR="00A86C96" w:rsidRPr="00A86C96" w:rsidRDefault="00A86C96" w:rsidP="00937652">
            <w:pPr>
              <w:spacing w:before="100" w:beforeAutospacing="1" w:after="100" w:afterAutospacing="1"/>
              <w:jc w:val="center"/>
            </w:pPr>
            <w:r w:rsidRPr="00A86C96">
              <w:t>Gjobat, sekuestrimet në sende, në mallra, në vlera financiare dhe në mjete lundrimi vendosen në përputhje me aktet ligjore e nënligjore në fuqi.</w:t>
            </w:r>
          </w:p>
          <w:p w:rsidR="00A86C96" w:rsidRPr="00A86C96" w:rsidRDefault="00A86C96" w:rsidP="00937652">
            <w:pPr>
              <w:spacing w:before="100" w:beforeAutospacing="1" w:after="100" w:afterAutospacing="1"/>
              <w:jc w:val="center"/>
            </w:pPr>
            <w:r w:rsidRPr="00A86C96">
              <w:t>Neni 10</w:t>
            </w:r>
          </w:p>
          <w:p w:rsidR="00A86C96" w:rsidRPr="00A86C96" w:rsidRDefault="00A86C96" w:rsidP="00937652">
            <w:pPr>
              <w:spacing w:before="100" w:beforeAutospacing="1" w:after="100" w:afterAutospacing="1"/>
              <w:jc w:val="center"/>
            </w:pPr>
            <w:r w:rsidRPr="00A86C96">
              <w:t>Dispozita të fundit</w:t>
            </w:r>
          </w:p>
          <w:p w:rsidR="00A86C96" w:rsidRPr="00A86C96" w:rsidRDefault="00A86C96" w:rsidP="00937652">
            <w:pPr>
              <w:spacing w:before="100" w:beforeAutospacing="1" w:after="100" w:afterAutospacing="1"/>
              <w:jc w:val="center"/>
            </w:pPr>
            <w:r w:rsidRPr="00A86C96">
              <w:t>1. Në zbatim të këtij ligji, Këshilli i Ministrave miraton Manualin e Rojës Bregdetare brenda 3 (tre) muajve nga hyrja në fuqi e këtij ligji.</w:t>
            </w:r>
          </w:p>
          <w:p w:rsidR="00A86C96" w:rsidRPr="00A86C96" w:rsidRDefault="00A86C96" w:rsidP="00937652">
            <w:pPr>
              <w:spacing w:before="100" w:beforeAutospacing="1" w:after="100" w:afterAutospacing="1"/>
              <w:jc w:val="center"/>
            </w:pPr>
            <w:r w:rsidRPr="00A86C96">
              <w:t>2. Ministritë dhe institucionet përkatëse që kanë interesa në det, brenda 6 (gjashtë) muajve nga data e miratimit të këtij ligji, përgatisin marrëveshjet përkatëse për përcaktimin e rregullave bazë të bashkëveprimit ndërmjet tyre për zbatimin e ligjshmërisë në det.</w:t>
            </w:r>
          </w:p>
          <w:p w:rsidR="00A86C96" w:rsidRPr="00A86C96" w:rsidRDefault="00A86C96" w:rsidP="00937652">
            <w:pPr>
              <w:spacing w:before="100" w:beforeAutospacing="1" w:after="100" w:afterAutospacing="1"/>
              <w:jc w:val="center"/>
            </w:pPr>
            <w:r w:rsidRPr="00A86C96">
              <w:t>Neni 11</w:t>
            </w:r>
          </w:p>
          <w:p w:rsidR="00A86C96" w:rsidRPr="00A86C96" w:rsidRDefault="00A86C96" w:rsidP="00937652">
            <w:pPr>
              <w:spacing w:before="100" w:beforeAutospacing="1" w:after="100" w:afterAutospacing="1"/>
              <w:jc w:val="center"/>
            </w:pPr>
            <w:r w:rsidRPr="00A86C96">
              <w:t>Të gjitha aktet ligjore dhe nënligjore, që bien në kundërshtim me këtë ligj, shfuqizohen.</w:t>
            </w:r>
          </w:p>
          <w:p w:rsidR="00A86C96" w:rsidRPr="00A86C96" w:rsidRDefault="00A86C96" w:rsidP="00937652">
            <w:pPr>
              <w:spacing w:before="100" w:beforeAutospacing="1" w:after="100" w:afterAutospacing="1"/>
              <w:jc w:val="center"/>
            </w:pPr>
            <w:r w:rsidRPr="00A86C96">
              <w:t>Neni 12</w:t>
            </w:r>
          </w:p>
          <w:p w:rsidR="00A86C96" w:rsidRPr="00A86C96" w:rsidRDefault="00A86C96" w:rsidP="00937652">
            <w:pPr>
              <w:spacing w:before="100" w:beforeAutospacing="1" w:after="100" w:afterAutospacing="1"/>
              <w:jc w:val="center"/>
            </w:pPr>
            <w:r w:rsidRPr="00A86C96">
              <w:t>Ky ligj hyn në fuqi 15 ditë pas botimit në Fletoren Zyrtare.</w:t>
            </w:r>
          </w:p>
          <w:p w:rsidR="00A86C96" w:rsidRPr="00A86C96" w:rsidRDefault="00A86C96" w:rsidP="00937652">
            <w:pPr>
              <w:spacing w:before="100" w:beforeAutospacing="1" w:after="100" w:afterAutospacing="1"/>
              <w:jc w:val="center"/>
            </w:pPr>
            <w:r w:rsidRPr="00A86C96">
              <w:t>K R Y E T A R I</w:t>
            </w:r>
          </w:p>
          <w:p w:rsidR="00A86C96" w:rsidRPr="00A86C96" w:rsidRDefault="00A86C96" w:rsidP="00937652">
            <w:pPr>
              <w:spacing w:before="100" w:beforeAutospacing="1" w:after="100" w:afterAutospacing="1"/>
              <w:jc w:val="center"/>
            </w:pPr>
            <w:r w:rsidRPr="00A86C96">
              <w:t>Namik Dokle</w:t>
            </w:r>
          </w:p>
        </w:tc>
      </w:tr>
    </w:tbl>
    <w:p w:rsidR="00026B05" w:rsidRDefault="00026B05" w:rsidP="00937652">
      <w:pPr>
        <w:jc w:val="center"/>
      </w:pPr>
    </w:p>
    <w:sectPr w:rsidR="00026B05" w:rsidSect="00A86C96">
      <w:pgSz w:w="12240" w:h="15840"/>
      <w:pgMar w:top="99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86C96"/>
    <w:rsid w:val="00026B05"/>
    <w:rsid w:val="00030054"/>
    <w:rsid w:val="00042658"/>
    <w:rsid w:val="00075424"/>
    <w:rsid w:val="000A11C5"/>
    <w:rsid w:val="000C2EB9"/>
    <w:rsid w:val="000D3DB6"/>
    <w:rsid w:val="001119E0"/>
    <w:rsid w:val="0015147B"/>
    <w:rsid w:val="001528F9"/>
    <w:rsid w:val="001605A8"/>
    <w:rsid w:val="00171821"/>
    <w:rsid w:val="00191F38"/>
    <w:rsid w:val="001B4CD4"/>
    <w:rsid w:val="001C0EA7"/>
    <w:rsid w:val="001D54C2"/>
    <w:rsid w:val="001F0A42"/>
    <w:rsid w:val="00230F5F"/>
    <w:rsid w:val="00233524"/>
    <w:rsid w:val="002473DD"/>
    <w:rsid w:val="00260464"/>
    <w:rsid w:val="002E1CE7"/>
    <w:rsid w:val="003129A0"/>
    <w:rsid w:val="003258D7"/>
    <w:rsid w:val="003307EB"/>
    <w:rsid w:val="003463A5"/>
    <w:rsid w:val="00381D23"/>
    <w:rsid w:val="003849C5"/>
    <w:rsid w:val="00396106"/>
    <w:rsid w:val="003B6A85"/>
    <w:rsid w:val="003D3565"/>
    <w:rsid w:val="003E5CEF"/>
    <w:rsid w:val="0041061C"/>
    <w:rsid w:val="00416C2D"/>
    <w:rsid w:val="004259DD"/>
    <w:rsid w:val="00462F85"/>
    <w:rsid w:val="004924DE"/>
    <w:rsid w:val="004D6C40"/>
    <w:rsid w:val="004F75A3"/>
    <w:rsid w:val="00513326"/>
    <w:rsid w:val="00516C54"/>
    <w:rsid w:val="005178B7"/>
    <w:rsid w:val="00571C75"/>
    <w:rsid w:val="00592E40"/>
    <w:rsid w:val="005F2051"/>
    <w:rsid w:val="00617B95"/>
    <w:rsid w:val="00636BB9"/>
    <w:rsid w:val="006477AE"/>
    <w:rsid w:val="00656A18"/>
    <w:rsid w:val="0072145F"/>
    <w:rsid w:val="00741899"/>
    <w:rsid w:val="00772227"/>
    <w:rsid w:val="00792734"/>
    <w:rsid w:val="007A5C0E"/>
    <w:rsid w:val="007B7C9C"/>
    <w:rsid w:val="007E0B05"/>
    <w:rsid w:val="007F3A81"/>
    <w:rsid w:val="00814209"/>
    <w:rsid w:val="00840766"/>
    <w:rsid w:val="00841C21"/>
    <w:rsid w:val="008859DB"/>
    <w:rsid w:val="008D6E52"/>
    <w:rsid w:val="008E1396"/>
    <w:rsid w:val="008E4552"/>
    <w:rsid w:val="00937652"/>
    <w:rsid w:val="00943CC0"/>
    <w:rsid w:val="009461AD"/>
    <w:rsid w:val="00975F04"/>
    <w:rsid w:val="009A756C"/>
    <w:rsid w:val="00A006C6"/>
    <w:rsid w:val="00A346C3"/>
    <w:rsid w:val="00A768E4"/>
    <w:rsid w:val="00A86C96"/>
    <w:rsid w:val="00AC2928"/>
    <w:rsid w:val="00AD3CF5"/>
    <w:rsid w:val="00B10C47"/>
    <w:rsid w:val="00B123FB"/>
    <w:rsid w:val="00B212B7"/>
    <w:rsid w:val="00B30BEF"/>
    <w:rsid w:val="00B40D92"/>
    <w:rsid w:val="00B5621F"/>
    <w:rsid w:val="00B9624E"/>
    <w:rsid w:val="00BA19E6"/>
    <w:rsid w:val="00BA66D3"/>
    <w:rsid w:val="00BF0AD1"/>
    <w:rsid w:val="00C10750"/>
    <w:rsid w:val="00C108F3"/>
    <w:rsid w:val="00C37ABC"/>
    <w:rsid w:val="00C41D75"/>
    <w:rsid w:val="00C636F5"/>
    <w:rsid w:val="00D02FB9"/>
    <w:rsid w:val="00D11F72"/>
    <w:rsid w:val="00D12AFE"/>
    <w:rsid w:val="00D168A9"/>
    <w:rsid w:val="00D22E2B"/>
    <w:rsid w:val="00D30121"/>
    <w:rsid w:val="00DD523E"/>
    <w:rsid w:val="00DE7784"/>
    <w:rsid w:val="00DF40A5"/>
    <w:rsid w:val="00E50EEF"/>
    <w:rsid w:val="00E7626D"/>
    <w:rsid w:val="00E86F3B"/>
    <w:rsid w:val="00EB60DB"/>
    <w:rsid w:val="00EB60DD"/>
    <w:rsid w:val="00EF4C98"/>
    <w:rsid w:val="00EF5B08"/>
    <w:rsid w:val="00F13346"/>
    <w:rsid w:val="00F15994"/>
    <w:rsid w:val="00F6406E"/>
    <w:rsid w:val="00F72153"/>
    <w:rsid w:val="00F945B7"/>
    <w:rsid w:val="00FA6A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53"/>
    <w:rPr>
      <w:sz w:val="24"/>
      <w:szCs w:val="24"/>
    </w:rPr>
  </w:style>
  <w:style w:type="paragraph" w:styleId="Heading1">
    <w:name w:val="heading 1"/>
    <w:basedOn w:val="Normal"/>
    <w:next w:val="Normal"/>
    <w:link w:val="Heading1Char"/>
    <w:qFormat/>
    <w:rsid w:val="00F7215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7215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72153"/>
    <w:pPr>
      <w:keepNext/>
      <w:spacing w:before="240" w:after="60"/>
      <w:outlineLvl w:val="3"/>
    </w:pPr>
    <w:rPr>
      <w:b/>
      <w:bCs/>
      <w:sz w:val="28"/>
      <w:szCs w:val="28"/>
    </w:rPr>
  </w:style>
  <w:style w:type="paragraph" w:styleId="Heading5">
    <w:name w:val="heading 5"/>
    <w:basedOn w:val="Normal"/>
    <w:next w:val="Normal"/>
    <w:link w:val="Heading5Char"/>
    <w:qFormat/>
    <w:rsid w:val="00F72153"/>
    <w:pPr>
      <w:spacing w:before="240" w:after="60"/>
      <w:outlineLvl w:val="4"/>
    </w:pPr>
    <w:rPr>
      <w:rFonts w:ascii="Bookman Old Style" w:hAnsi="Bookman Old Style"/>
      <w:b/>
      <w:bCs/>
      <w:i/>
      <w:i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153"/>
    <w:rPr>
      <w:rFonts w:ascii="Arial" w:hAnsi="Arial" w:cs="Arial"/>
      <w:b/>
      <w:bCs/>
      <w:kern w:val="32"/>
      <w:sz w:val="32"/>
      <w:szCs w:val="32"/>
    </w:rPr>
  </w:style>
  <w:style w:type="character" w:customStyle="1" w:styleId="Heading3Char">
    <w:name w:val="Heading 3 Char"/>
    <w:basedOn w:val="DefaultParagraphFont"/>
    <w:link w:val="Heading3"/>
    <w:rsid w:val="00F72153"/>
    <w:rPr>
      <w:rFonts w:ascii="Arial" w:hAnsi="Arial" w:cs="Arial"/>
      <w:b/>
      <w:bCs/>
      <w:sz w:val="26"/>
      <w:szCs w:val="26"/>
    </w:rPr>
  </w:style>
  <w:style w:type="character" w:customStyle="1" w:styleId="Heading4Char">
    <w:name w:val="Heading 4 Char"/>
    <w:basedOn w:val="DefaultParagraphFont"/>
    <w:link w:val="Heading4"/>
    <w:rsid w:val="00F72153"/>
    <w:rPr>
      <w:b/>
      <w:bCs/>
      <w:sz w:val="28"/>
      <w:szCs w:val="28"/>
    </w:rPr>
  </w:style>
  <w:style w:type="character" w:customStyle="1" w:styleId="Heading5Char">
    <w:name w:val="Heading 5 Char"/>
    <w:basedOn w:val="DefaultParagraphFont"/>
    <w:link w:val="Heading5"/>
    <w:rsid w:val="00F72153"/>
    <w:rPr>
      <w:rFonts w:ascii="Bookman Old Style" w:hAnsi="Bookman Old Style"/>
      <w:b/>
      <w:bCs/>
      <w:i/>
      <w:iCs/>
      <w:color w:val="000000"/>
      <w:sz w:val="26"/>
      <w:szCs w:val="26"/>
    </w:rPr>
  </w:style>
  <w:style w:type="paragraph" w:styleId="Subtitle">
    <w:name w:val="Subtitle"/>
    <w:basedOn w:val="Normal"/>
    <w:link w:val="SubtitleChar"/>
    <w:qFormat/>
    <w:rsid w:val="00F72153"/>
    <w:pPr>
      <w:jc w:val="center"/>
    </w:pPr>
    <w:rPr>
      <w:rFonts w:eastAsia="Calibri"/>
    </w:rPr>
  </w:style>
  <w:style w:type="character" w:customStyle="1" w:styleId="SubtitleChar">
    <w:name w:val="Subtitle Char"/>
    <w:basedOn w:val="DefaultParagraphFont"/>
    <w:link w:val="Subtitle"/>
    <w:rsid w:val="00F72153"/>
    <w:rPr>
      <w:rFonts w:eastAsia="Calibri"/>
      <w:sz w:val="24"/>
      <w:szCs w:val="24"/>
      <w:lang w:val="en-US" w:eastAsia="en-US" w:bidi="ar-SA"/>
    </w:rPr>
  </w:style>
  <w:style w:type="character" w:styleId="Strong">
    <w:name w:val="Strong"/>
    <w:basedOn w:val="DefaultParagraphFont"/>
    <w:qFormat/>
    <w:rsid w:val="00F72153"/>
    <w:rPr>
      <w:b/>
      <w:bCs/>
    </w:rPr>
  </w:style>
  <w:style w:type="character" w:styleId="Emphasis">
    <w:name w:val="Emphasis"/>
    <w:basedOn w:val="DefaultParagraphFont"/>
    <w:qFormat/>
    <w:rsid w:val="00F72153"/>
    <w:rPr>
      <w:i/>
      <w:iCs/>
    </w:rPr>
  </w:style>
  <w:style w:type="paragraph" w:styleId="NoSpacing">
    <w:name w:val="No Spacing"/>
    <w:qFormat/>
    <w:rsid w:val="00F72153"/>
    <w:rPr>
      <w:rFonts w:eastAsia="MS Mincho"/>
      <w:sz w:val="24"/>
      <w:szCs w:val="24"/>
    </w:rPr>
  </w:style>
  <w:style w:type="paragraph" w:styleId="ListParagraph">
    <w:name w:val="List Paragraph"/>
    <w:basedOn w:val="Normal"/>
    <w:qFormat/>
    <w:rsid w:val="00F72153"/>
    <w:pPr>
      <w:ind w:left="720"/>
    </w:pPr>
    <w:rPr>
      <w:rFonts w:eastAsia="MS Mincho"/>
    </w:rPr>
  </w:style>
  <w:style w:type="paragraph" w:customStyle="1" w:styleId="paragraf1">
    <w:name w:val="paragraf1"/>
    <w:basedOn w:val="Normal"/>
    <w:link w:val="paragraf1Char"/>
    <w:qFormat/>
    <w:rsid w:val="00F72153"/>
    <w:pPr>
      <w:ind w:firstLine="720"/>
      <w:jc w:val="both"/>
    </w:pPr>
    <w:rPr>
      <w:rFonts w:ascii="Bookman Old Style" w:hAnsi="Bookman Old Style"/>
      <w:lang w:val="sq-AL"/>
    </w:rPr>
  </w:style>
  <w:style w:type="character" w:customStyle="1" w:styleId="paragraf1Char">
    <w:name w:val="paragraf1 Char"/>
    <w:basedOn w:val="DefaultParagraphFont"/>
    <w:link w:val="paragraf1"/>
    <w:rsid w:val="00F72153"/>
    <w:rPr>
      <w:rFonts w:ascii="Bookman Old Style" w:hAnsi="Bookman Old Style"/>
      <w:sz w:val="24"/>
      <w:szCs w:val="24"/>
      <w:lang w:val="sq-AL"/>
    </w:rPr>
  </w:style>
  <w:style w:type="paragraph" w:customStyle="1" w:styleId="Paragrafoelenco">
    <w:name w:val="Paragrafo elenco"/>
    <w:basedOn w:val="Normal"/>
    <w:qFormat/>
    <w:rsid w:val="00F72153"/>
    <w:pPr>
      <w:ind w:left="720"/>
    </w:pPr>
  </w:style>
  <w:style w:type="paragraph" w:customStyle="1" w:styleId="ColorfulList-Accent11">
    <w:name w:val="Colorful List - Accent 11"/>
    <w:basedOn w:val="Normal"/>
    <w:uiPriority w:val="34"/>
    <w:qFormat/>
    <w:rsid w:val="00F7215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86C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7777781">
      <w:bodyDiv w:val="1"/>
      <w:marLeft w:val="0"/>
      <w:marRight w:val="0"/>
      <w:marTop w:val="0"/>
      <w:marBottom w:val="0"/>
      <w:divBdr>
        <w:top w:val="none" w:sz="0" w:space="0" w:color="auto"/>
        <w:left w:val="none" w:sz="0" w:space="0" w:color="auto"/>
        <w:bottom w:val="none" w:sz="0" w:space="0" w:color="auto"/>
        <w:right w:val="none" w:sz="0" w:space="0" w:color="auto"/>
      </w:divBdr>
    </w:div>
    <w:div w:id="1776056323">
      <w:bodyDiv w:val="1"/>
      <w:marLeft w:val="0"/>
      <w:marRight w:val="0"/>
      <w:marTop w:val="0"/>
      <w:marBottom w:val="0"/>
      <w:divBdr>
        <w:top w:val="none" w:sz="0" w:space="0" w:color="auto"/>
        <w:left w:val="none" w:sz="0" w:space="0" w:color="auto"/>
        <w:bottom w:val="none" w:sz="0" w:space="0" w:color="auto"/>
        <w:right w:val="none" w:sz="0" w:space="0" w:color="auto"/>
      </w:divBdr>
    </w:div>
    <w:div w:id="178391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7872</Characters>
  <Application>Microsoft Office Word</Application>
  <DocSecurity>0</DocSecurity>
  <Lines>65</Lines>
  <Paragraphs>18</Paragraphs>
  <ScaleCrop>false</ScaleCrop>
  <Company>MM</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website</cp:lastModifiedBy>
  <cp:revision>2</cp:revision>
  <dcterms:created xsi:type="dcterms:W3CDTF">2015-12-10T11:36:00Z</dcterms:created>
  <dcterms:modified xsi:type="dcterms:W3CDTF">2015-12-10T11:36:00Z</dcterms:modified>
</cp:coreProperties>
</file>