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3DCF55" w14:textId="77777777" w:rsidR="008D4DCA" w:rsidRPr="00B33EE6" w:rsidRDefault="008D4DCA" w:rsidP="008D4DCA">
      <w:pPr>
        <w:jc w:val="center"/>
        <w:rPr>
          <w:rStyle w:val="Strong"/>
          <w:sz w:val="28"/>
          <w:szCs w:val="28"/>
          <w:lang w:val="en-GB"/>
        </w:rPr>
      </w:pPr>
      <w:r w:rsidRPr="00B33EE6">
        <w:rPr>
          <w:b/>
          <w:sz w:val="28"/>
          <w:szCs w:val="28"/>
          <w:lang w:val="en-GB"/>
        </w:rPr>
        <w:t>S</w:t>
      </w:r>
      <w:r>
        <w:rPr>
          <w:b/>
          <w:sz w:val="28"/>
          <w:szCs w:val="28"/>
          <w:lang w:val="en-GB"/>
        </w:rPr>
        <w:t>UPPLY</w:t>
      </w:r>
      <w:r w:rsidRPr="00B33EE6">
        <w:rPr>
          <w:b/>
          <w:sz w:val="28"/>
          <w:szCs w:val="28"/>
          <w:lang w:val="en-GB"/>
        </w:rPr>
        <w:t xml:space="preserve"> CONTRACT NOTICE</w:t>
      </w:r>
    </w:p>
    <w:p w14:paraId="6B3E53A1" w14:textId="77777777" w:rsidR="00506E50" w:rsidRDefault="00506E50" w:rsidP="008D4DCA">
      <w:pPr>
        <w:jc w:val="center"/>
        <w:rPr>
          <w:b/>
          <w:sz w:val="28"/>
          <w:szCs w:val="28"/>
        </w:rPr>
      </w:pPr>
      <w:r w:rsidRPr="00506E50">
        <w:rPr>
          <w:b/>
          <w:sz w:val="28"/>
          <w:szCs w:val="28"/>
          <w:lang w:val="en-GB"/>
        </w:rPr>
        <w:t xml:space="preserve">Supply </w:t>
      </w:r>
      <w:r w:rsidRPr="00506E50">
        <w:rPr>
          <w:b/>
          <w:sz w:val="28"/>
          <w:szCs w:val="28"/>
        </w:rPr>
        <w:t>Pick up AIB 4x4 Vehicle for forest fire responder</w:t>
      </w:r>
    </w:p>
    <w:p w14:paraId="0EF2CAF1" w14:textId="5C0948E5" w:rsidR="008D4DCA" w:rsidRPr="00B33EE6" w:rsidRDefault="008D4DCA" w:rsidP="008D4DCA">
      <w:pPr>
        <w:jc w:val="center"/>
        <w:rPr>
          <w:sz w:val="28"/>
          <w:szCs w:val="28"/>
          <w:lang w:val="en-GB"/>
        </w:rPr>
      </w:pPr>
      <w:bookmarkStart w:id="0" w:name="_GoBack"/>
      <w:bookmarkEnd w:id="0"/>
      <w:r w:rsidRPr="00230360">
        <w:rPr>
          <w:rStyle w:val="Strong"/>
          <w:sz w:val="28"/>
          <w:szCs w:val="28"/>
          <w:lang w:val="en-GB"/>
        </w:rPr>
        <w:t>Location -</w:t>
      </w:r>
      <w:r w:rsidRPr="00B33EE6">
        <w:rPr>
          <w:rStyle w:val="Strong"/>
          <w:sz w:val="28"/>
          <w:szCs w:val="28"/>
          <w:lang w:val="en-GB"/>
        </w:rPr>
        <w:t xml:space="preserve"> </w:t>
      </w:r>
      <w:r w:rsidRPr="007F7DD6">
        <w:rPr>
          <w:rStyle w:val="Emphasis"/>
          <w:i w:val="0"/>
          <w:sz w:val="28"/>
          <w:szCs w:val="28"/>
          <w:lang w:val="en-GB"/>
        </w:rPr>
        <w:t>Ministry</w:t>
      </w:r>
      <w:r>
        <w:rPr>
          <w:rStyle w:val="Emphasis"/>
          <w:i w:val="0"/>
          <w:sz w:val="28"/>
          <w:szCs w:val="28"/>
          <w:lang w:val="en-GB"/>
        </w:rPr>
        <w:t xml:space="preserve"> of Defence, Tirana, Albania</w:t>
      </w:r>
      <w:r w:rsidRPr="00B33EE6">
        <w:rPr>
          <w:rStyle w:val="Strong"/>
          <w:sz w:val="28"/>
          <w:szCs w:val="28"/>
          <w:lang w:val="en-GB"/>
        </w:rPr>
        <w:t xml:space="preserve"> </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6D8C79F6" w14:textId="609FF460" w:rsidR="008D4DCA" w:rsidRPr="004A2894" w:rsidRDefault="008D4DCA" w:rsidP="008D4DCA">
      <w:pPr>
        <w:ind w:left="360"/>
        <w:outlineLvl w:val="0"/>
        <w:rPr>
          <w:b/>
          <w:sz w:val="22"/>
          <w:szCs w:val="22"/>
          <w:lang w:val="en-GB"/>
        </w:rPr>
      </w:pPr>
      <w:r w:rsidRPr="004A2894">
        <w:rPr>
          <w:b/>
          <w:sz w:val="22"/>
          <w:szCs w:val="22"/>
          <w:lang w:val="en-GB"/>
        </w:rPr>
        <w:t>IPA ITMNEAL/TBR-MOD/SUP/03</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42C46B40" w:rsidR="006F5FD0" w:rsidRPr="00B33EE6" w:rsidRDefault="00457D9A" w:rsidP="00457D9A">
      <w:pPr>
        <w:pStyle w:val="Blockquote"/>
        <w:jc w:val="both"/>
        <w:rPr>
          <w:sz w:val="22"/>
          <w:szCs w:val="22"/>
          <w:lang w:val="en-GB"/>
        </w:rPr>
      </w:pPr>
      <w:r>
        <w:rPr>
          <w:sz w:val="22"/>
          <w:szCs w:val="22"/>
          <w:lang w:val="en-GB"/>
        </w:rPr>
        <w:t>Local open</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4958775E" w14:textId="1E3F3C70" w:rsidR="008D4DCA" w:rsidRPr="003932DA" w:rsidRDefault="008D4DCA" w:rsidP="008D4DCA">
      <w:pPr>
        <w:pStyle w:val="PRAGHeading2"/>
        <w:numPr>
          <w:ilvl w:val="0"/>
          <w:numId w:val="0"/>
        </w:numPr>
        <w:spacing w:before="0" w:after="0" w:line="300" w:lineRule="exact"/>
        <w:ind w:left="357" w:right="357"/>
        <w:jc w:val="both"/>
        <w:rPr>
          <w:sz w:val="22"/>
          <w:szCs w:val="22"/>
        </w:rPr>
      </w:pPr>
      <w:r w:rsidRPr="003932DA">
        <w:rPr>
          <w:sz w:val="22"/>
          <w:szCs w:val="22"/>
        </w:rPr>
        <w:t xml:space="preserve">Interreg IPA CBC Italy-Albania-Montenegro 2014-2020. Thematic project TO BE READY - The flOod and Big fire foREst, prediction, forecAst anD emergencY management – 355”. </w:t>
      </w:r>
    </w:p>
    <w:p w14:paraId="7A5DFEB6" w14:textId="40DDBA5D" w:rsidR="00C87532" w:rsidRPr="00BD63A4" w:rsidRDefault="00C87532" w:rsidP="00C87532">
      <w:pPr>
        <w:ind w:left="709" w:hanging="349"/>
        <w:outlineLvl w:val="0"/>
        <w:rPr>
          <w:rStyle w:val="Strong"/>
          <w:sz w:val="22"/>
          <w:szCs w:val="22"/>
          <w:lang w:val="en-GB"/>
        </w:rPr>
      </w:pPr>
      <w:r>
        <w:rPr>
          <w:rStyle w:val="Strong"/>
          <w:sz w:val="22"/>
          <w:szCs w:val="22"/>
          <w:lang w:val="en-GB"/>
        </w:rPr>
        <w:t xml:space="preserve">4.   </w:t>
      </w:r>
      <w:r w:rsidRPr="00BD63A4">
        <w:rPr>
          <w:rStyle w:val="Strong"/>
          <w:sz w:val="22"/>
          <w:szCs w:val="22"/>
          <w:lang w:val="en-GB"/>
        </w:rPr>
        <w:t>Financing</w:t>
      </w:r>
    </w:p>
    <w:p w14:paraId="030184D5" w14:textId="48A9A9CC" w:rsidR="00C87532" w:rsidRPr="00BD63A4" w:rsidRDefault="00C87532" w:rsidP="003932DA">
      <w:pPr>
        <w:pStyle w:val="PRAGHeading2"/>
        <w:numPr>
          <w:ilvl w:val="0"/>
          <w:numId w:val="0"/>
        </w:numPr>
        <w:ind w:left="426"/>
        <w:jc w:val="both"/>
        <w:rPr>
          <w:sz w:val="22"/>
          <w:szCs w:val="22"/>
          <w:lang w:val="en-GB"/>
        </w:rPr>
      </w:pPr>
      <w:r>
        <w:rPr>
          <w:sz w:val="22"/>
          <w:szCs w:val="22"/>
          <w:lang w:val="en-GB"/>
        </w:rPr>
        <w:t>The project is co-financed</w:t>
      </w:r>
      <w:r w:rsidRPr="00BD63A4">
        <w:rPr>
          <w:sz w:val="22"/>
          <w:szCs w:val="22"/>
          <w:lang w:val="en-GB"/>
        </w:rPr>
        <w:t xml:space="preserve"> by the European Union, in accordance with the rules of </w:t>
      </w:r>
      <w:r>
        <w:rPr>
          <w:sz w:val="22"/>
          <w:szCs w:val="22"/>
          <w:lang w:val="en-GB"/>
        </w:rPr>
        <w:t>the Instrument for Pre-Accession Assistance (IPA II)</w:t>
      </w:r>
      <w:r w:rsidRPr="00BD63A4">
        <w:rPr>
          <w:sz w:val="22"/>
          <w:szCs w:val="22"/>
          <w:lang w:val="en-GB"/>
        </w:rPr>
        <w:t xml:space="preserve">. </w:t>
      </w:r>
    </w:p>
    <w:p w14:paraId="6C518477" w14:textId="157314C4" w:rsidR="00C87532" w:rsidRPr="00BD63A4" w:rsidRDefault="00C87532" w:rsidP="00C87532">
      <w:pPr>
        <w:ind w:left="709" w:hanging="349"/>
        <w:outlineLvl w:val="0"/>
        <w:rPr>
          <w:rStyle w:val="Strong"/>
          <w:sz w:val="22"/>
          <w:szCs w:val="22"/>
          <w:lang w:val="en-GB"/>
        </w:rPr>
      </w:pPr>
      <w:r>
        <w:rPr>
          <w:rStyle w:val="Strong"/>
          <w:sz w:val="22"/>
          <w:szCs w:val="22"/>
          <w:lang w:val="en-GB"/>
        </w:rPr>
        <w:t xml:space="preserve">5.   </w:t>
      </w:r>
      <w:r w:rsidRPr="00BD63A4">
        <w:rPr>
          <w:rStyle w:val="Strong"/>
          <w:sz w:val="22"/>
          <w:szCs w:val="22"/>
          <w:lang w:val="en-GB"/>
        </w:rPr>
        <w:t xml:space="preserve">Contracting </w:t>
      </w:r>
      <w:r>
        <w:rPr>
          <w:rStyle w:val="Strong"/>
          <w:sz w:val="22"/>
          <w:szCs w:val="22"/>
          <w:lang w:val="en-GB"/>
        </w:rPr>
        <w:t>a</w:t>
      </w:r>
      <w:r w:rsidRPr="00BD63A4">
        <w:rPr>
          <w:rStyle w:val="Strong"/>
          <w:sz w:val="22"/>
          <w:szCs w:val="22"/>
          <w:lang w:val="en-GB"/>
        </w:rPr>
        <w:t>uthority</w:t>
      </w:r>
    </w:p>
    <w:p w14:paraId="459F0863" w14:textId="77777777" w:rsidR="008D4DCA" w:rsidRDefault="008D4DCA" w:rsidP="008D4DCA">
      <w:pPr>
        <w:spacing w:before="0" w:after="0" w:line="300" w:lineRule="exact"/>
        <w:ind w:left="357" w:right="357"/>
        <w:jc w:val="both"/>
        <w:rPr>
          <w:rStyle w:val="Emphasis"/>
          <w:i w:val="0"/>
          <w:sz w:val="22"/>
          <w:szCs w:val="22"/>
          <w:lang w:val="en-GB"/>
        </w:rPr>
      </w:pPr>
      <w:r>
        <w:rPr>
          <w:rStyle w:val="Emphasis"/>
          <w:i w:val="0"/>
          <w:sz w:val="22"/>
          <w:szCs w:val="22"/>
          <w:lang w:val="en-GB"/>
        </w:rPr>
        <w:t>Ministry of Defence of Republic of Albania</w:t>
      </w:r>
    </w:p>
    <w:p w14:paraId="0111938A" w14:textId="77777777" w:rsidR="008D4DCA" w:rsidRPr="005D6C0D" w:rsidRDefault="008D4DCA" w:rsidP="008D4DCA">
      <w:pPr>
        <w:spacing w:before="0" w:after="0"/>
        <w:ind w:left="360"/>
        <w:rPr>
          <w:szCs w:val="22"/>
        </w:rPr>
      </w:pPr>
      <w:r w:rsidRPr="005D6C0D">
        <w:rPr>
          <w:szCs w:val="22"/>
        </w:rPr>
        <w:t xml:space="preserve">Street of Dibra, </w:t>
      </w:r>
    </w:p>
    <w:p w14:paraId="1A55B2E2" w14:textId="77777777" w:rsidR="008D4DCA" w:rsidRPr="005D6C0D" w:rsidRDefault="008D4DCA" w:rsidP="008D4DCA">
      <w:pPr>
        <w:spacing w:before="0" w:after="0"/>
        <w:ind w:left="360"/>
        <w:rPr>
          <w:szCs w:val="22"/>
        </w:rPr>
      </w:pPr>
      <w:r w:rsidRPr="005D6C0D">
        <w:rPr>
          <w:szCs w:val="22"/>
        </w:rPr>
        <w:t xml:space="preserve">Garrison Scanderbeg, no. 3, </w:t>
      </w:r>
    </w:p>
    <w:p w14:paraId="64BC3FD9" w14:textId="77777777" w:rsidR="008D4DCA" w:rsidRPr="00F3757F" w:rsidRDefault="008D4DCA" w:rsidP="008D4DCA">
      <w:pPr>
        <w:spacing w:before="0" w:after="0"/>
        <w:ind w:left="360"/>
        <w:rPr>
          <w:b/>
          <w:szCs w:val="22"/>
        </w:rPr>
      </w:pPr>
      <w:r w:rsidRPr="005D6C0D">
        <w:rPr>
          <w:szCs w:val="22"/>
        </w:rPr>
        <w:t>Tirana, Albania</w:t>
      </w:r>
    </w:p>
    <w:p w14:paraId="67F4A905" w14:textId="77777777" w:rsidR="006F5FD0" w:rsidRPr="00B33EE6" w:rsidRDefault="008863EF">
      <w:pPr>
        <w:rPr>
          <w:sz w:val="22"/>
          <w:szCs w:val="22"/>
          <w:lang w:val="en-GB"/>
        </w:rPr>
      </w:pPr>
      <w:r>
        <w:rPr>
          <w:snapToGrid/>
          <w:sz w:val="22"/>
          <w:szCs w:val="22"/>
          <w:lang w:val="en-GB"/>
        </w:rPr>
        <w:pict w14:anchorId="589D319E">
          <v:line id="_x0000_s1027" style="position:absolute;z-index:1"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4299CF33" w:rsidR="006F5FD0" w:rsidRPr="00B33EE6" w:rsidRDefault="008A1184">
      <w:pPr>
        <w:pStyle w:val="Blockquote"/>
        <w:jc w:val="both"/>
        <w:rPr>
          <w:i/>
          <w:sz w:val="22"/>
          <w:szCs w:val="22"/>
          <w:lang w:val="en-GB"/>
        </w:rPr>
      </w:pPr>
      <w:r>
        <w:rPr>
          <w:rStyle w:val="Emphasis"/>
          <w:i w:val="0"/>
          <w:sz w:val="22"/>
          <w:szCs w:val="22"/>
          <w:lang w:val="en-GB"/>
        </w:rPr>
        <w:t xml:space="preserve"> </w:t>
      </w:r>
      <w:r w:rsidR="008D4DCA">
        <w:rPr>
          <w:rStyle w:val="Emphasis"/>
          <w:i w:val="0"/>
          <w:sz w:val="22"/>
          <w:szCs w:val="22"/>
          <w:lang w:val="en-GB"/>
        </w:rPr>
        <w:t>Unit-Price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5C50A4FE" w14:textId="67799DC8" w:rsidR="00027DE2" w:rsidRPr="004A2894" w:rsidRDefault="00027DE2" w:rsidP="00027DE2">
      <w:pPr>
        <w:ind w:left="357"/>
        <w:jc w:val="both"/>
        <w:rPr>
          <w:rFonts w:eastAsia="MS Mincho"/>
          <w:sz w:val="22"/>
          <w:szCs w:val="22"/>
        </w:rPr>
      </w:pPr>
      <w:r w:rsidRPr="001604B4">
        <w:rPr>
          <w:sz w:val="22"/>
          <w:szCs w:val="22"/>
        </w:rPr>
        <w:t>In recent</w:t>
      </w:r>
      <w:r w:rsidR="00A72719" w:rsidRPr="00A72719">
        <w:rPr>
          <w:sz w:val="22"/>
          <w:szCs w:val="22"/>
        </w:rPr>
        <w:t xml:space="preserve"> year</w:t>
      </w:r>
      <w:r w:rsidR="00440453">
        <w:rPr>
          <w:sz w:val="22"/>
          <w:szCs w:val="22"/>
        </w:rPr>
        <w:t>s</w:t>
      </w:r>
      <w:r w:rsidR="00A72719" w:rsidRPr="00A72719">
        <w:rPr>
          <w:sz w:val="22"/>
          <w:szCs w:val="22"/>
        </w:rPr>
        <w:t>, Albania has been exposed to several environmental challenges, being among others flood risks and forest fire risks.  The scope of the contract is the modernization of the beneficiaries’ teams with equipment and pooling efforts to effectively respond to disasters in case of fire AIB. The purchase of equipments (4x4 pick-up vehicles) will increase the professional skills of teams acting in the event of fire. All of this will contribute to increase beneficiaries’ capability to develop effective national, local civil protection systems and collaborate in a coherent manner in dealing with fires at regional and national level. The mission</w:t>
      </w:r>
      <w:r w:rsidR="00440453">
        <w:rPr>
          <w:sz w:val="22"/>
          <w:szCs w:val="22"/>
        </w:rPr>
        <w:t xml:space="preserve"> of this service is prevention</w:t>
      </w:r>
      <w:r w:rsidR="00A72719" w:rsidRPr="00A72719">
        <w:rPr>
          <w:sz w:val="22"/>
          <w:szCs w:val="22"/>
        </w:rPr>
        <w:t>, rescue of livestock, property, environment, forests and pastures in various accidents, natural and man-made disasters, contributing with the latest equipment on the market for the field.</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295A8770" w:rsidR="00E9047D" w:rsidRPr="00B33EE6" w:rsidRDefault="00364564" w:rsidP="00584BF4">
      <w:pPr>
        <w:ind w:left="709" w:hanging="349"/>
        <w:outlineLvl w:val="0"/>
        <w:rPr>
          <w:rStyle w:val="Emphasis"/>
          <w:i w:val="0"/>
          <w:sz w:val="22"/>
          <w:szCs w:val="22"/>
          <w:lang w:val="en-GB"/>
        </w:rPr>
      </w:pPr>
      <w:r w:rsidRPr="00027DE2">
        <w:rPr>
          <w:rStyle w:val="Emphasis"/>
          <w:i w:val="0"/>
          <w:sz w:val="22"/>
          <w:szCs w:val="22"/>
          <w:lang w:val="en-GB"/>
        </w:rPr>
        <w:t>O</w:t>
      </w:r>
      <w:r w:rsidR="00DA0ABA" w:rsidRPr="00027DE2">
        <w:rPr>
          <w:rStyle w:val="Emphasis"/>
          <w:i w:val="0"/>
          <w:sz w:val="22"/>
          <w:szCs w:val="22"/>
          <w:lang w:val="en-GB"/>
        </w:rPr>
        <w:t>ne lot only</w:t>
      </w:r>
    </w:p>
    <w:p w14:paraId="6C843D95" w14:textId="77777777" w:rsidR="006F5FD0" w:rsidRPr="00B33EE6" w:rsidRDefault="008863EF">
      <w:pPr>
        <w:pStyle w:val="Blockquote"/>
        <w:jc w:val="both"/>
        <w:rPr>
          <w:sz w:val="22"/>
          <w:szCs w:val="22"/>
          <w:lang w:val="en-GB"/>
        </w:rPr>
      </w:pPr>
      <w:r>
        <w:rPr>
          <w:snapToGrid/>
          <w:sz w:val="22"/>
          <w:szCs w:val="22"/>
          <w:lang w:val="en-GB"/>
        </w:rPr>
        <w:pict w14:anchorId="21854D6C">
          <v:line id="_x0000_s1028" style="position:absolute;left:0;text-align:left;z-index:2"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381F6A2D" w14:textId="252C72C0" w:rsidR="00326B16" w:rsidRPr="00D97139" w:rsidRDefault="00A20D52" w:rsidP="00DA5413">
      <w:pPr>
        <w:pStyle w:val="FootnoteText"/>
        <w:ind w:firstLine="426"/>
        <w:rPr>
          <w:rStyle w:val="Strong"/>
          <w:sz w:val="22"/>
          <w:szCs w:val="22"/>
          <w:lang w:val="en-GB"/>
        </w:rPr>
      </w:pPr>
      <w:r>
        <w:rPr>
          <w:rStyle w:val="Strong"/>
          <w:sz w:val="22"/>
          <w:szCs w:val="22"/>
          <w:lang w:val="en-GB"/>
        </w:rPr>
        <w:lastRenderedPageBreak/>
        <w:t>9</w:t>
      </w:r>
      <w:r w:rsidR="00B9793F">
        <w:rPr>
          <w:rStyle w:val="Strong"/>
          <w:sz w:val="22"/>
          <w:szCs w:val="22"/>
          <w:lang w:val="en-GB"/>
        </w:rPr>
        <w:t xml:space="preserve">. </w:t>
      </w:r>
      <w:r w:rsidR="00B9793F" w:rsidRPr="00D97139">
        <w:rPr>
          <w:rStyle w:val="Strong"/>
          <w:sz w:val="22"/>
          <w:szCs w:val="22"/>
          <w:lang w:val="en-GB"/>
        </w:rPr>
        <w:t>Legal basis, eligibility and rules of origin</w:t>
      </w:r>
    </w:p>
    <w:p w14:paraId="1D192928" w14:textId="77777777" w:rsidR="00DA5413" w:rsidRPr="00A53499" w:rsidRDefault="00DA5413" w:rsidP="00DA5413">
      <w:pPr>
        <w:pStyle w:val="Blockquote"/>
        <w:jc w:val="both"/>
        <w:rPr>
          <w:sz w:val="22"/>
          <w:szCs w:val="22"/>
          <w:lang w:val="en-GB"/>
        </w:rPr>
      </w:pPr>
      <w:r w:rsidRPr="00A53499">
        <w:rPr>
          <w:sz w:val="22"/>
          <w:szCs w:val="22"/>
          <w:lang w:val="en-GB"/>
        </w:rPr>
        <w:t>The legal basis of this procedure is Regulation (EU) No 236/2014 of the European Parliament and of the Council of 11 March 2014 laying down common rules and procedures for the implementation of the Union's instruments for financing external action and Commission Implementing Regulation (EU) No 447/2014 of 2 May 2014 on the specific rules for implementing Regulation (EU) No 231/2014 of the European Parliament and of the Council establishing an Instrument for Pre-accession assistance (IPA II). See Annex A2 of the practical guide.</w:t>
      </w:r>
    </w:p>
    <w:p w14:paraId="694CA34B" w14:textId="77777777" w:rsidR="00DA5413" w:rsidRPr="00A53499" w:rsidRDefault="00DA5413" w:rsidP="00DA5413">
      <w:pPr>
        <w:pStyle w:val="Blockquote"/>
        <w:jc w:val="both"/>
      </w:pPr>
      <w:r w:rsidRPr="00A53499">
        <w:rPr>
          <w:sz w:val="22"/>
          <w:szCs w:val="22"/>
        </w:rPr>
        <w:t>Participation is open to all natural persons who are nationals of and legal persons (participating either individually or in a grouping – consortium – of candidates/tenderers) which are effectively established in a  Member State of the European Union or in a eligible country or territory as defined under Article 8 of Regulation (EU) No 236/2014 establishing common rules and procedures for the implementation of the Union's instruments for external action (CIR) for the applicable instrument under which the contract is financed. </w:t>
      </w:r>
    </w:p>
    <w:p w14:paraId="3C216431" w14:textId="77777777" w:rsidR="00DA5413" w:rsidRPr="00A53499" w:rsidRDefault="00DA5413" w:rsidP="00DA5413">
      <w:pPr>
        <w:pStyle w:val="Blockquote"/>
        <w:jc w:val="both"/>
        <w:rPr>
          <w:sz w:val="22"/>
          <w:szCs w:val="22"/>
        </w:rPr>
      </w:pPr>
      <w:r w:rsidRPr="00A53499">
        <w:rPr>
          <w:sz w:val="22"/>
          <w:szCs w:val="22"/>
        </w:rPr>
        <w:t>Participation is also open to international organisations.</w:t>
      </w:r>
    </w:p>
    <w:p w14:paraId="57B5176D" w14:textId="287EF6EF" w:rsidR="00B9793F" w:rsidRPr="00DA5413" w:rsidRDefault="00DA5413" w:rsidP="00DA5413">
      <w:pPr>
        <w:ind w:left="426"/>
        <w:jc w:val="both"/>
        <w:rPr>
          <w:rFonts w:cs="Arial"/>
          <w:sz w:val="22"/>
          <w:szCs w:val="22"/>
          <w:lang w:val="en-GB"/>
        </w:rPr>
      </w:pPr>
      <w:r w:rsidRPr="00A53499">
        <w:rPr>
          <w:sz w:val="22"/>
          <w:szCs w:val="22"/>
        </w:rPr>
        <w:t>Participation financed by the European Instrument for Democracy and Human Rights (EIDHR) and the Instrument contributing to Stability and Peace (IcSP)</w:t>
      </w:r>
      <w:r w:rsidRPr="00A53499">
        <w:rPr>
          <w:rStyle w:val="FootnoteReference"/>
          <w:sz w:val="22"/>
          <w:szCs w:val="22"/>
          <w:lang w:val="en-GB"/>
        </w:rPr>
        <w:footnoteReference w:id="1"/>
      </w:r>
      <w:r w:rsidRPr="00A53499">
        <w:rPr>
          <w:rFonts w:cs="Arial"/>
          <w:sz w:val="22"/>
          <w:szCs w:val="22"/>
          <w:lang w:val="en-GB"/>
        </w:rPr>
        <w:t xml:space="preserve"> </w:t>
      </w:r>
      <w:r w:rsidRPr="00A53499">
        <w:rPr>
          <w:sz w:val="22"/>
          <w:szCs w:val="22"/>
        </w:rPr>
        <w:t>is fully untied</w:t>
      </w:r>
      <w:r w:rsidRPr="00A53499">
        <w:rPr>
          <w:rStyle w:val="FootnoteReference"/>
          <w:sz w:val="22"/>
          <w:szCs w:val="22"/>
        </w:rPr>
        <w:footnoteReference w:id="2"/>
      </w:r>
      <w:r w:rsidRPr="00A53499">
        <w:rPr>
          <w:rFonts w:cs="Arial"/>
          <w:sz w:val="22"/>
          <w:szCs w:val="22"/>
          <w:lang w:val="en-GB"/>
        </w:rPr>
        <w:t>.</w:t>
      </w:r>
    </w:p>
    <w:p w14:paraId="63522FC5" w14:textId="33116CDE"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A20D52">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0A454E0" w14:textId="6C281FEE" w:rsidR="001A66C2" w:rsidRPr="00EF7C6B" w:rsidRDefault="001A66C2" w:rsidP="00EF7C6B">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5B17B21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A20D52">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31C79A3C"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A20D52">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7ADB997A" w14:textId="77777777" w:rsidR="004A2894" w:rsidRDefault="004A2894" w:rsidP="00584BF4">
      <w:pPr>
        <w:ind w:left="709" w:hanging="349"/>
        <w:outlineLvl w:val="0"/>
        <w:rPr>
          <w:rStyle w:val="Emphasis"/>
          <w:i w:val="0"/>
          <w:sz w:val="22"/>
          <w:szCs w:val="22"/>
          <w:lang w:val="en-GB"/>
        </w:rPr>
      </w:pPr>
    </w:p>
    <w:p w14:paraId="3E76976B" w14:textId="77777777" w:rsidR="006F5FD0" w:rsidRPr="00B33EE6" w:rsidRDefault="008863EF">
      <w:pPr>
        <w:keepNext/>
        <w:jc w:val="center"/>
        <w:rPr>
          <w:sz w:val="28"/>
          <w:szCs w:val="28"/>
          <w:lang w:val="en-GB"/>
        </w:rPr>
      </w:pPr>
      <w:r>
        <w:rPr>
          <w:snapToGrid/>
          <w:sz w:val="22"/>
          <w:szCs w:val="22"/>
          <w:lang w:val="en-GB"/>
        </w:rPr>
        <w:pict w14:anchorId="11F7E59B">
          <v:line id="_x0000_s1029" style="position:absolute;left:0;text-align:left;z-index:3"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09231B7C"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A20D52">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5994E4B6" w:rsidR="006F5FD0" w:rsidRPr="00B33EE6" w:rsidRDefault="00027DE2" w:rsidP="00571687">
      <w:pPr>
        <w:pStyle w:val="Blockquote"/>
        <w:jc w:val="both"/>
        <w:rPr>
          <w:i/>
          <w:sz w:val="22"/>
          <w:szCs w:val="22"/>
          <w:lang w:val="en-GB"/>
        </w:rPr>
      </w:pPr>
      <w:r>
        <w:rPr>
          <w:rStyle w:val="Emphasis"/>
          <w:i w:val="0"/>
          <w:sz w:val="22"/>
          <w:szCs w:val="22"/>
          <w:lang w:val="en-GB"/>
        </w:rPr>
        <w:t>1</w:t>
      </w:r>
      <w:r w:rsidR="00A46BB9">
        <w:rPr>
          <w:rStyle w:val="Emphasis"/>
          <w:i w:val="0"/>
          <w:sz w:val="22"/>
          <w:szCs w:val="22"/>
          <w:lang w:val="en-GB"/>
        </w:rPr>
        <w:t>2</w:t>
      </w:r>
      <w:r>
        <w:rPr>
          <w:rStyle w:val="Emphasis"/>
          <w:i w:val="0"/>
          <w:sz w:val="22"/>
          <w:szCs w:val="22"/>
          <w:lang w:val="en-GB"/>
        </w:rPr>
        <w:t>.08.2022</w:t>
      </w:r>
    </w:p>
    <w:p w14:paraId="70B1A4AA" w14:textId="56B5E0F6" w:rsidR="006F5FD0" w:rsidRPr="00B33EE6" w:rsidRDefault="00A20D52" w:rsidP="00571687">
      <w:pPr>
        <w:ind w:left="709" w:hanging="349"/>
        <w:outlineLvl w:val="0"/>
        <w:rPr>
          <w:sz w:val="22"/>
          <w:szCs w:val="22"/>
          <w:lang w:val="en-GB"/>
        </w:rPr>
      </w:pPr>
      <w:r>
        <w:rPr>
          <w:rStyle w:val="Strong"/>
          <w:sz w:val="22"/>
          <w:szCs w:val="22"/>
          <w:lang w:val="en-GB"/>
        </w:rPr>
        <w:lastRenderedPageBreak/>
        <w:t>14</w:t>
      </w:r>
      <w:r w:rsidR="006F5FD0" w:rsidRPr="00B33EE6">
        <w:rPr>
          <w:rStyle w:val="Strong"/>
          <w:sz w:val="22"/>
          <w:szCs w:val="22"/>
          <w:lang w:val="en-GB"/>
        </w:rPr>
        <w:t xml:space="preserve">. </w:t>
      </w:r>
      <w:r w:rsidR="00584BF4" w:rsidRPr="00B33EE6">
        <w:rPr>
          <w:rStyle w:val="Strong"/>
          <w:sz w:val="22"/>
          <w:szCs w:val="22"/>
          <w:lang w:val="en-GB"/>
        </w:rPr>
        <w:tab/>
      </w:r>
      <w:r w:rsidR="005639EC" w:rsidRPr="00B33EE6">
        <w:rPr>
          <w:rStyle w:val="Strong"/>
          <w:sz w:val="22"/>
          <w:szCs w:val="22"/>
          <w:lang w:val="en-GB"/>
        </w:rPr>
        <w:t>Implementation</w:t>
      </w:r>
      <w:r w:rsidR="006F5FD0" w:rsidRPr="00B33EE6">
        <w:rPr>
          <w:rStyle w:val="Strong"/>
          <w:sz w:val="22"/>
          <w:szCs w:val="22"/>
          <w:lang w:val="en-GB"/>
        </w:rPr>
        <w:t xml:space="preserve"> period of </w:t>
      </w:r>
      <w:r w:rsidR="005639EC" w:rsidRPr="00B33EE6">
        <w:rPr>
          <w:rStyle w:val="Strong"/>
          <w:sz w:val="22"/>
          <w:szCs w:val="22"/>
          <w:lang w:val="en-GB"/>
        </w:rPr>
        <w:t>the</w:t>
      </w:r>
      <w:r w:rsidR="00476D80" w:rsidRPr="00B33EE6">
        <w:rPr>
          <w:rStyle w:val="Strong"/>
          <w:sz w:val="22"/>
          <w:szCs w:val="22"/>
          <w:lang w:val="en-GB"/>
        </w:rPr>
        <w:t xml:space="preserve"> tasks </w:t>
      </w:r>
    </w:p>
    <w:p w14:paraId="48189A03" w14:textId="15162DB4" w:rsidR="00027DE2" w:rsidRPr="00B33EE6" w:rsidRDefault="00027DE2" w:rsidP="00027DE2">
      <w:pPr>
        <w:pStyle w:val="Blockquote"/>
        <w:jc w:val="both"/>
        <w:rPr>
          <w:i/>
          <w:sz w:val="22"/>
          <w:szCs w:val="22"/>
          <w:lang w:val="en-GB"/>
        </w:rPr>
      </w:pPr>
      <w:r w:rsidRPr="00027DE2">
        <w:rPr>
          <w:rStyle w:val="Emphasis"/>
          <w:i w:val="0"/>
          <w:sz w:val="22"/>
          <w:szCs w:val="22"/>
          <w:lang w:val="en-GB"/>
        </w:rPr>
        <w:t xml:space="preserve">120 days following the signing of the contract </w:t>
      </w:r>
    </w:p>
    <w:p w14:paraId="29CC7DD8" w14:textId="77777777" w:rsidR="006F5FD0" w:rsidRPr="00B33EE6" w:rsidRDefault="008863EF">
      <w:pPr>
        <w:rPr>
          <w:sz w:val="22"/>
          <w:szCs w:val="22"/>
          <w:lang w:val="en-GB"/>
        </w:rPr>
      </w:pPr>
      <w:r>
        <w:rPr>
          <w:snapToGrid/>
          <w:sz w:val="22"/>
          <w:szCs w:val="22"/>
          <w:lang w:val="en-GB"/>
        </w:rPr>
        <w:pict w14:anchorId="6E3015B7">
          <v:line id="_x0000_s1030" style="position:absolute;z-index:4"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5C4F51D3" w:rsidR="006F5FD0" w:rsidRDefault="00A20D52" w:rsidP="00584BF4">
      <w:pPr>
        <w:ind w:left="709" w:hanging="349"/>
        <w:outlineLvl w:val="0"/>
        <w:rPr>
          <w:rStyle w:val="Strong"/>
          <w:sz w:val="22"/>
          <w:szCs w:val="22"/>
          <w:lang w:val="en-GB"/>
        </w:rPr>
      </w:pPr>
      <w:r>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750FA9E5" w:rsidR="00831982" w:rsidRDefault="00831982" w:rsidP="00F4457F">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74F5A096" w14:textId="77777777" w:rsidR="00F4457F" w:rsidRPr="00F4457F" w:rsidRDefault="00F4457F" w:rsidP="00F4457F">
      <w:pPr>
        <w:widowControl/>
        <w:spacing w:before="240" w:after="0"/>
        <w:ind w:left="426"/>
        <w:jc w:val="both"/>
        <w:rPr>
          <w:sz w:val="22"/>
          <w:szCs w:val="22"/>
          <w:highlight w:val="yellow"/>
          <w:lang w:val="en-GB"/>
        </w:rPr>
      </w:pPr>
    </w:p>
    <w:p w14:paraId="0D716E4E" w14:textId="09857B85" w:rsidR="006F5FD0" w:rsidRPr="00B33EE6" w:rsidRDefault="006F5FD0" w:rsidP="00F4457F">
      <w:pPr>
        <w:pStyle w:val="Blockquote"/>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C76F46">
      <w:pPr>
        <w:pStyle w:val="Blockquote"/>
        <w:numPr>
          <w:ilvl w:val="0"/>
          <w:numId w:val="3"/>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300C56C5" w14:textId="1CD0027A" w:rsidR="009B5369" w:rsidRDefault="009B5369" w:rsidP="009B5369">
      <w:pPr>
        <w:pStyle w:val="Blockquote"/>
        <w:ind w:left="357" w:right="357"/>
        <w:jc w:val="both"/>
        <w:rPr>
          <w:sz w:val="22"/>
          <w:szCs w:val="22"/>
        </w:rPr>
      </w:pPr>
      <w:r w:rsidRPr="00F4457F">
        <w:rPr>
          <w:sz w:val="22"/>
          <w:szCs w:val="22"/>
        </w:rPr>
        <w:t>The selection criteria for each tenderer are as follows:</w:t>
      </w:r>
    </w:p>
    <w:p w14:paraId="69DADF64" w14:textId="77777777" w:rsidR="00F4457F" w:rsidRPr="002F5486" w:rsidRDefault="00F4457F" w:rsidP="00C76F46">
      <w:pPr>
        <w:pStyle w:val="Blockquote"/>
        <w:numPr>
          <w:ilvl w:val="0"/>
          <w:numId w:val="1"/>
        </w:numPr>
        <w:tabs>
          <w:tab w:val="clear" w:pos="360"/>
        </w:tabs>
        <w:spacing w:before="0" w:after="0"/>
        <w:ind w:left="717" w:right="22"/>
        <w:jc w:val="both"/>
        <w:rPr>
          <w:sz w:val="22"/>
          <w:szCs w:val="22"/>
        </w:rPr>
      </w:pPr>
      <w:r w:rsidRPr="002F5486">
        <w:rPr>
          <w:sz w:val="22"/>
          <w:szCs w:val="22"/>
        </w:rPr>
        <w:t>will not be economically dependent on the contracting authority in the event that the contract is awarded to it; and</w:t>
      </w:r>
    </w:p>
    <w:p w14:paraId="12AB690A" w14:textId="1BEF4CDE" w:rsidR="00F4457F" w:rsidRPr="002F5486" w:rsidRDefault="00F4457F" w:rsidP="00C76F46">
      <w:pPr>
        <w:pStyle w:val="Blockquote"/>
        <w:numPr>
          <w:ilvl w:val="0"/>
          <w:numId w:val="1"/>
        </w:numPr>
        <w:tabs>
          <w:tab w:val="clear" w:pos="360"/>
        </w:tabs>
        <w:spacing w:before="0" w:after="0"/>
        <w:ind w:left="717" w:right="22"/>
        <w:jc w:val="both"/>
        <w:rPr>
          <w:sz w:val="22"/>
          <w:szCs w:val="22"/>
        </w:rPr>
      </w:pPr>
      <w:r w:rsidRPr="002F5486">
        <w:rPr>
          <w:sz w:val="22"/>
          <w:szCs w:val="22"/>
        </w:rPr>
        <w:t>has sufficient financial stability to handle the proposed contract.</w:t>
      </w:r>
    </w:p>
    <w:p w14:paraId="46649E04" w14:textId="77777777" w:rsidR="002F5486" w:rsidRDefault="002F5486" w:rsidP="002F5486">
      <w:pPr>
        <w:pStyle w:val="Blockquote"/>
        <w:tabs>
          <w:tab w:val="left" w:pos="284"/>
        </w:tabs>
        <w:ind w:left="720"/>
        <w:jc w:val="both"/>
        <w:rPr>
          <w:sz w:val="22"/>
          <w:szCs w:val="22"/>
          <w:lang w:val="en-GB"/>
        </w:rPr>
      </w:pPr>
    </w:p>
    <w:p w14:paraId="7A4B8F69" w14:textId="77777777" w:rsidR="002F5486" w:rsidRPr="002F5486" w:rsidRDefault="002F5486" w:rsidP="002F5486">
      <w:pPr>
        <w:pStyle w:val="Blockquote"/>
        <w:tabs>
          <w:tab w:val="left" w:pos="284"/>
        </w:tabs>
        <w:ind w:left="720"/>
        <w:jc w:val="both"/>
        <w:rPr>
          <w:sz w:val="22"/>
          <w:szCs w:val="22"/>
          <w:lang w:val="en-GB"/>
        </w:rPr>
      </w:pPr>
      <w:r w:rsidRPr="002F5486">
        <w:rPr>
          <w:sz w:val="22"/>
          <w:szCs w:val="22"/>
          <w:lang w:val="en-GB"/>
        </w:rPr>
        <w:t xml:space="preserve">Criteria for legal and natural persons: </w:t>
      </w:r>
      <w:r w:rsidRPr="002F5486" w:rsidDel="006C0EB6">
        <w:rPr>
          <w:sz w:val="22"/>
          <w:szCs w:val="22"/>
          <w:lang w:val="en-GB"/>
        </w:rPr>
        <w:t xml:space="preserve"> </w:t>
      </w:r>
    </w:p>
    <w:p w14:paraId="43900366" w14:textId="77777777" w:rsidR="002F5486" w:rsidRDefault="002F5486" w:rsidP="00C76F46">
      <w:pPr>
        <w:pStyle w:val="ListParagraph"/>
        <w:numPr>
          <w:ilvl w:val="0"/>
          <w:numId w:val="4"/>
        </w:numPr>
        <w:autoSpaceDE w:val="0"/>
        <w:autoSpaceDN w:val="0"/>
        <w:adjustRightInd w:val="0"/>
        <w:spacing w:line="360" w:lineRule="auto"/>
        <w:jc w:val="both"/>
        <w:rPr>
          <w:sz w:val="22"/>
          <w:szCs w:val="22"/>
          <w:lang w:val="en-GB"/>
        </w:rPr>
      </w:pPr>
      <w:r w:rsidRPr="002F5486">
        <w:rPr>
          <w:sz w:val="22"/>
          <w:szCs w:val="22"/>
          <w:lang w:val="en-GB"/>
        </w:rPr>
        <w:t>To test financial and economic capacity, economic operators must submit a certificate of annual turnover for the last three years, 2019, 2020 and 2021, where the value of turnover for at least one of the years of the required period must be no less than 5 million euros per year for the last three years. The copy of balance sheet of 2019, 2020, 2021 should be provided.</w:t>
      </w:r>
    </w:p>
    <w:p w14:paraId="543F0C7E" w14:textId="77777777" w:rsidR="002F5486" w:rsidRDefault="002F5486" w:rsidP="00C76F46">
      <w:pPr>
        <w:pStyle w:val="ListParagraph"/>
        <w:numPr>
          <w:ilvl w:val="0"/>
          <w:numId w:val="4"/>
        </w:numPr>
        <w:autoSpaceDE w:val="0"/>
        <w:autoSpaceDN w:val="0"/>
        <w:adjustRightInd w:val="0"/>
        <w:spacing w:line="360" w:lineRule="auto"/>
        <w:jc w:val="both"/>
        <w:rPr>
          <w:sz w:val="22"/>
          <w:szCs w:val="22"/>
          <w:lang w:val="en-GB"/>
        </w:rPr>
      </w:pPr>
      <w:r w:rsidRPr="002F5486">
        <w:rPr>
          <w:sz w:val="22"/>
          <w:szCs w:val="22"/>
          <w:lang w:val="en-GB"/>
        </w:rPr>
        <w:lastRenderedPageBreak/>
        <w:t>Minimum 10 years of experience in Car industry, proved by extract provided by National Registration Centre in Albania.</w:t>
      </w:r>
    </w:p>
    <w:p w14:paraId="485B50F0" w14:textId="11CF1631" w:rsidR="002F5486" w:rsidRPr="002F5486" w:rsidRDefault="002F5486" w:rsidP="00C76F46">
      <w:pPr>
        <w:pStyle w:val="ListParagraph"/>
        <w:numPr>
          <w:ilvl w:val="0"/>
          <w:numId w:val="4"/>
        </w:numPr>
        <w:autoSpaceDE w:val="0"/>
        <w:autoSpaceDN w:val="0"/>
        <w:adjustRightInd w:val="0"/>
        <w:spacing w:line="360" w:lineRule="auto"/>
        <w:jc w:val="both"/>
        <w:rPr>
          <w:sz w:val="22"/>
          <w:szCs w:val="22"/>
          <w:lang w:val="en-GB"/>
        </w:rPr>
      </w:pPr>
      <w:r w:rsidRPr="002F5486">
        <w:rPr>
          <w:sz w:val="22"/>
          <w:szCs w:val="22"/>
          <w:lang w:val="en-GB"/>
        </w:rPr>
        <w:t>Payment of Social and Health contribution and taxes.</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0EDAFFAA"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w:t>
      </w:r>
      <w:r w:rsidR="00FD5161" w:rsidRPr="00B33EE6">
        <w:rPr>
          <w:sz w:val="22"/>
          <w:szCs w:val="22"/>
          <w:lang w:val="en-GB"/>
        </w:rPr>
        <w:t>period, which will be taken into account,</w:t>
      </w:r>
      <w:r w:rsidRPr="00B33EE6">
        <w:rPr>
          <w:sz w:val="22"/>
          <w:szCs w:val="22"/>
          <w:lang w:val="en-GB"/>
        </w:rPr>
        <w:t xml:space="preserve">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19C5B1C0" w14:textId="77777777" w:rsidR="002F5486" w:rsidRPr="00FD5161" w:rsidRDefault="002F5486" w:rsidP="002F5486">
      <w:pPr>
        <w:pStyle w:val="Blockquote"/>
        <w:tabs>
          <w:tab w:val="left" w:pos="284"/>
        </w:tabs>
        <w:ind w:left="720"/>
        <w:jc w:val="both"/>
        <w:rPr>
          <w:sz w:val="22"/>
          <w:szCs w:val="22"/>
          <w:lang w:val="en-GB"/>
        </w:rPr>
      </w:pPr>
      <w:r w:rsidRPr="00FD5161">
        <w:rPr>
          <w:sz w:val="22"/>
          <w:szCs w:val="22"/>
          <w:lang w:val="en-GB"/>
        </w:rPr>
        <w:t xml:space="preserve">Criteria for legal and natural persons: </w:t>
      </w:r>
      <w:r w:rsidRPr="00FD5161" w:rsidDel="006C0EB6">
        <w:rPr>
          <w:sz w:val="22"/>
          <w:szCs w:val="22"/>
          <w:lang w:val="en-GB"/>
        </w:rPr>
        <w:t xml:space="preserve"> </w:t>
      </w:r>
    </w:p>
    <w:p w14:paraId="5040D476" w14:textId="77777777" w:rsidR="002F5486" w:rsidRPr="006D5F3C" w:rsidRDefault="002F5486" w:rsidP="00C76F46">
      <w:pPr>
        <w:pStyle w:val="ListParagraph"/>
        <w:numPr>
          <w:ilvl w:val="0"/>
          <w:numId w:val="5"/>
        </w:numPr>
        <w:tabs>
          <w:tab w:val="left" w:pos="284"/>
        </w:tabs>
        <w:autoSpaceDE w:val="0"/>
        <w:autoSpaceDN w:val="0"/>
        <w:adjustRightInd w:val="0"/>
        <w:spacing w:line="360" w:lineRule="auto"/>
        <w:ind w:left="0" w:firstLine="0"/>
        <w:jc w:val="both"/>
        <w:rPr>
          <w:sz w:val="22"/>
          <w:szCs w:val="22"/>
          <w:lang w:val="en"/>
        </w:rPr>
      </w:pPr>
      <w:r w:rsidRPr="006D5F3C">
        <w:rPr>
          <w:sz w:val="22"/>
          <w:szCs w:val="22"/>
          <w:lang w:val="en"/>
        </w:rPr>
        <w:t>Minimum. 50 employees in the company which:</w:t>
      </w:r>
    </w:p>
    <w:p w14:paraId="6223982B" w14:textId="77777777" w:rsidR="002F5486" w:rsidRPr="006D5F3C" w:rsidRDefault="002F5486" w:rsidP="002F5486">
      <w:pPr>
        <w:pStyle w:val="ListParagraph"/>
        <w:autoSpaceDE w:val="0"/>
        <w:autoSpaceDN w:val="0"/>
        <w:adjustRightInd w:val="0"/>
        <w:ind w:left="1080"/>
        <w:jc w:val="both"/>
        <w:rPr>
          <w:sz w:val="22"/>
          <w:szCs w:val="22"/>
          <w:lang w:val="en"/>
        </w:rPr>
      </w:pPr>
      <w:r w:rsidRPr="006D5F3C">
        <w:rPr>
          <w:sz w:val="22"/>
          <w:szCs w:val="22"/>
          <w:lang w:val="en"/>
        </w:rPr>
        <w:t>- 1 (one) of them should be Mechanical Engineer, proved by diploma and employment contract with a minimum 3 years working in the company.</w:t>
      </w:r>
    </w:p>
    <w:p w14:paraId="0A9199A4" w14:textId="1CFA01F9" w:rsidR="002F5486" w:rsidRPr="006D5F3C" w:rsidRDefault="002F5486" w:rsidP="002F5486">
      <w:pPr>
        <w:pStyle w:val="ListParagraph"/>
        <w:autoSpaceDE w:val="0"/>
        <w:autoSpaceDN w:val="0"/>
        <w:adjustRightInd w:val="0"/>
        <w:ind w:left="1080"/>
        <w:jc w:val="both"/>
        <w:rPr>
          <w:sz w:val="22"/>
          <w:szCs w:val="22"/>
          <w:lang w:val="en"/>
        </w:rPr>
      </w:pPr>
      <w:r w:rsidRPr="006D5F3C">
        <w:rPr>
          <w:sz w:val="22"/>
          <w:szCs w:val="22"/>
          <w:lang w:val="en"/>
        </w:rPr>
        <w:t xml:space="preserve">- 5 (five) auto mechanic employees of profiles: motorist, </w:t>
      </w:r>
      <w:r w:rsidR="00FD5161" w:rsidRPr="006D5F3C">
        <w:rPr>
          <w:sz w:val="22"/>
          <w:szCs w:val="22"/>
          <w:lang w:val="en"/>
        </w:rPr>
        <w:t>electro auto and</w:t>
      </w:r>
      <w:r w:rsidRPr="006D5F3C">
        <w:rPr>
          <w:sz w:val="22"/>
          <w:szCs w:val="22"/>
          <w:lang w:val="en"/>
        </w:rPr>
        <w:t xml:space="preserve"> generic.</w:t>
      </w:r>
    </w:p>
    <w:p w14:paraId="0EBFF143" w14:textId="778ECBC0" w:rsidR="002F5486" w:rsidRPr="006D5F3C" w:rsidRDefault="002F5486" w:rsidP="002F5486">
      <w:pPr>
        <w:pStyle w:val="ListParagraph"/>
        <w:autoSpaceDE w:val="0"/>
        <w:autoSpaceDN w:val="0"/>
        <w:adjustRightInd w:val="0"/>
        <w:spacing w:line="360" w:lineRule="auto"/>
        <w:ind w:left="0"/>
        <w:jc w:val="both"/>
        <w:rPr>
          <w:sz w:val="22"/>
          <w:szCs w:val="22"/>
          <w:lang w:val="en"/>
        </w:rPr>
      </w:pPr>
      <w:r w:rsidRPr="006D5F3C">
        <w:rPr>
          <w:sz w:val="22"/>
          <w:szCs w:val="22"/>
          <w:lang w:val="en"/>
        </w:rPr>
        <w:t xml:space="preserve">While for the </w:t>
      </w:r>
      <w:r w:rsidR="00FD5161" w:rsidRPr="006D5F3C">
        <w:rPr>
          <w:sz w:val="22"/>
          <w:szCs w:val="22"/>
          <w:lang w:val="en"/>
        </w:rPr>
        <w:t>above-mentioned</w:t>
      </w:r>
      <w:r w:rsidRPr="006D5F3C">
        <w:rPr>
          <w:sz w:val="22"/>
          <w:szCs w:val="22"/>
          <w:lang w:val="en"/>
        </w:rPr>
        <w:t xml:space="preserve"> </w:t>
      </w:r>
      <w:r w:rsidR="00FD5161" w:rsidRPr="006D5F3C">
        <w:rPr>
          <w:sz w:val="22"/>
          <w:szCs w:val="22"/>
          <w:lang w:val="en"/>
        </w:rPr>
        <w:t>staff,</w:t>
      </w:r>
      <w:r w:rsidRPr="006D5F3C">
        <w:rPr>
          <w:sz w:val="22"/>
          <w:szCs w:val="22"/>
          <w:lang w:val="en"/>
        </w:rPr>
        <w:t xml:space="preserve"> the company must present: </w:t>
      </w:r>
    </w:p>
    <w:p w14:paraId="74975228" w14:textId="77777777" w:rsidR="002F5486" w:rsidRPr="006D5F3C" w:rsidRDefault="002F5486" w:rsidP="002F5486">
      <w:pPr>
        <w:pStyle w:val="ListParagraph"/>
        <w:autoSpaceDE w:val="0"/>
        <w:autoSpaceDN w:val="0"/>
        <w:adjustRightInd w:val="0"/>
        <w:spacing w:line="360" w:lineRule="auto"/>
        <w:ind w:left="1080"/>
        <w:jc w:val="both"/>
        <w:rPr>
          <w:sz w:val="22"/>
          <w:szCs w:val="22"/>
          <w:lang w:val="en"/>
        </w:rPr>
      </w:pPr>
      <w:r w:rsidRPr="006D5F3C">
        <w:rPr>
          <w:sz w:val="22"/>
          <w:szCs w:val="22"/>
          <w:lang w:val="en"/>
        </w:rPr>
        <w:t>- Employment contracts with at least of 3 years presence in the company.</w:t>
      </w:r>
    </w:p>
    <w:p w14:paraId="6C37B8EC" w14:textId="548A14C0" w:rsidR="002F5486" w:rsidRPr="006D5F3C" w:rsidRDefault="002F5486" w:rsidP="002F5486">
      <w:pPr>
        <w:autoSpaceDE w:val="0"/>
        <w:autoSpaceDN w:val="0"/>
        <w:adjustRightInd w:val="0"/>
        <w:spacing w:line="360" w:lineRule="auto"/>
        <w:jc w:val="both"/>
        <w:rPr>
          <w:sz w:val="22"/>
          <w:szCs w:val="22"/>
          <w:lang w:val="en-GB"/>
        </w:rPr>
      </w:pPr>
      <w:r w:rsidRPr="006D5F3C">
        <w:rPr>
          <w:sz w:val="22"/>
          <w:szCs w:val="22"/>
          <w:lang w:val="en"/>
        </w:rPr>
        <w:t xml:space="preserve">2- </w:t>
      </w:r>
      <w:r w:rsidRPr="006D5F3C">
        <w:rPr>
          <w:sz w:val="22"/>
          <w:szCs w:val="22"/>
          <w:lang w:val="en-GB"/>
        </w:rPr>
        <w:t>The bidding Company must have an area of ​​service facilities of at least 300 m2, which will include the area for parking of vehicles under service.</w:t>
      </w:r>
    </w:p>
    <w:p w14:paraId="30BE2142" w14:textId="77777777" w:rsidR="002F5486" w:rsidRPr="006D5F3C" w:rsidRDefault="002F5486" w:rsidP="002F5486">
      <w:pPr>
        <w:autoSpaceDE w:val="0"/>
        <w:autoSpaceDN w:val="0"/>
        <w:adjustRightInd w:val="0"/>
        <w:spacing w:line="360" w:lineRule="auto"/>
        <w:jc w:val="both"/>
        <w:rPr>
          <w:sz w:val="22"/>
          <w:szCs w:val="22"/>
          <w:lang w:val="en-GB"/>
        </w:rPr>
      </w:pPr>
      <w:r w:rsidRPr="006D5F3C">
        <w:rPr>
          <w:sz w:val="22"/>
          <w:szCs w:val="22"/>
          <w:lang w:val="en-GB"/>
        </w:rPr>
        <w:t>This must be confirmed by submitting the relevant ownership document or the lease contract (the contract must be at least until the deadline for the implementation of the contract) of the facility where it operates, which must be original or notarized.</w:t>
      </w:r>
    </w:p>
    <w:p w14:paraId="090EADA2" w14:textId="77777777" w:rsidR="002F5486" w:rsidRPr="006D5F3C" w:rsidRDefault="002F5486" w:rsidP="002F5486">
      <w:pPr>
        <w:autoSpaceDE w:val="0"/>
        <w:autoSpaceDN w:val="0"/>
        <w:adjustRightInd w:val="0"/>
        <w:spacing w:line="360" w:lineRule="auto"/>
        <w:jc w:val="both"/>
        <w:rPr>
          <w:sz w:val="22"/>
          <w:szCs w:val="22"/>
          <w:lang w:val="en"/>
        </w:rPr>
      </w:pPr>
      <w:r w:rsidRPr="006D5F3C">
        <w:rPr>
          <w:sz w:val="22"/>
          <w:szCs w:val="22"/>
          <w:lang w:val="en"/>
        </w:rPr>
        <w:t xml:space="preserve">This must be verified by submitting the relevant ownership document or the lease contract (the contract must be at least until the deadline for the implementation of the contract) of the facility where it operates, which must be original or notarized. </w:t>
      </w:r>
    </w:p>
    <w:p w14:paraId="1327CC5D" w14:textId="06CFF919" w:rsidR="002F5486" w:rsidRPr="006D5F3C" w:rsidRDefault="002F5486" w:rsidP="00C76F46">
      <w:pPr>
        <w:pStyle w:val="ListParagraph"/>
        <w:numPr>
          <w:ilvl w:val="0"/>
          <w:numId w:val="6"/>
        </w:numPr>
        <w:autoSpaceDE w:val="0"/>
        <w:autoSpaceDN w:val="0"/>
        <w:adjustRightInd w:val="0"/>
        <w:spacing w:line="360" w:lineRule="auto"/>
        <w:ind w:left="284" w:hanging="284"/>
        <w:jc w:val="both"/>
        <w:rPr>
          <w:sz w:val="22"/>
          <w:szCs w:val="22"/>
          <w:lang w:val="en"/>
        </w:rPr>
      </w:pPr>
      <w:r w:rsidRPr="006D5F3C">
        <w:rPr>
          <w:sz w:val="22"/>
          <w:szCs w:val="22"/>
          <w:lang w:val="en"/>
        </w:rPr>
        <w:t>The company should present the license as a service provider authorized by National License Center. The certificate should be valid in the moment of bidding.</w:t>
      </w:r>
    </w:p>
    <w:p w14:paraId="05E75179" w14:textId="6113B86C"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6D5F3C">
        <w:rPr>
          <w:sz w:val="22"/>
          <w:szCs w:val="22"/>
          <w:lang w:val="en-GB"/>
        </w:rPr>
        <w:t>three</w:t>
      </w:r>
      <w:r w:rsidR="00862885" w:rsidRPr="006D5F3C">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2C15392A" w14:textId="77777777" w:rsidR="006D5F3C" w:rsidRDefault="006D5F3C" w:rsidP="006D5F3C">
      <w:pPr>
        <w:pStyle w:val="Blockquote"/>
        <w:tabs>
          <w:tab w:val="left" w:pos="284"/>
        </w:tabs>
        <w:jc w:val="both"/>
        <w:rPr>
          <w:sz w:val="22"/>
          <w:szCs w:val="22"/>
          <w:lang w:val="en-GB"/>
        </w:rPr>
      </w:pPr>
      <w:r w:rsidRPr="00CB2A5B">
        <w:rPr>
          <w:sz w:val="22"/>
          <w:szCs w:val="22"/>
          <w:lang w:val="en-GB"/>
        </w:rPr>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w:t>
      </w:r>
      <w:r w:rsidRPr="00CB2A5B">
        <w:rPr>
          <w:sz w:val="22"/>
          <w:szCs w:val="22"/>
          <w:lang w:val="en-GB"/>
        </w:rPr>
        <w:lastRenderedPageBreak/>
        <w:t>has successfully completed must be clear from the documentary evidence, together with a description of the nature of the supplies provided if the selection criteria relating to the pertinence of the experience have been used.</w:t>
      </w:r>
    </w:p>
    <w:p w14:paraId="53EC3788" w14:textId="77777777" w:rsidR="006D5F3C" w:rsidRPr="006D5F3C" w:rsidRDefault="006D5F3C" w:rsidP="006D5F3C">
      <w:pPr>
        <w:pStyle w:val="Blockquote"/>
        <w:tabs>
          <w:tab w:val="left" w:pos="284"/>
        </w:tabs>
        <w:jc w:val="both"/>
        <w:rPr>
          <w:sz w:val="22"/>
          <w:szCs w:val="22"/>
          <w:lang w:val="en-GB"/>
        </w:rPr>
      </w:pPr>
      <w:r w:rsidRPr="006D5F3C">
        <w:rPr>
          <w:sz w:val="22"/>
          <w:szCs w:val="22"/>
          <w:lang w:val="en-GB"/>
        </w:rPr>
        <w:t xml:space="preserve">Criteria for legal and natural persons: </w:t>
      </w:r>
      <w:r w:rsidRPr="006D5F3C" w:rsidDel="006C0EB6">
        <w:rPr>
          <w:sz w:val="22"/>
          <w:szCs w:val="22"/>
          <w:lang w:val="en-GB"/>
        </w:rPr>
        <w:t xml:space="preserve"> </w:t>
      </w:r>
    </w:p>
    <w:p w14:paraId="0BD3E592" w14:textId="77777777" w:rsidR="006D5F3C" w:rsidRDefault="006D5F3C" w:rsidP="00C76F46">
      <w:pPr>
        <w:pStyle w:val="Blockquote"/>
        <w:numPr>
          <w:ilvl w:val="0"/>
          <w:numId w:val="7"/>
        </w:numPr>
        <w:tabs>
          <w:tab w:val="left" w:pos="284"/>
        </w:tabs>
        <w:jc w:val="both"/>
        <w:rPr>
          <w:sz w:val="22"/>
          <w:szCs w:val="22"/>
          <w:lang w:val="en-GB"/>
        </w:rPr>
      </w:pPr>
      <w:r w:rsidRPr="006D5F3C">
        <w:rPr>
          <w:sz w:val="22"/>
          <w:szCs w:val="22"/>
          <w:lang w:val="en-GB"/>
        </w:rPr>
        <w:t>Minimum 5 years of relevant experience.</w:t>
      </w:r>
    </w:p>
    <w:p w14:paraId="6AD6EAEB" w14:textId="77777777" w:rsidR="006D5F3C" w:rsidRDefault="006D5F3C" w:rsidP="00C76F46">
      <w:pPr>
        <w:pStyle w:val="Blockquote"/>
        <w:numPr>
          <w:ilvl w:val="0"/>
          <w:numId w:val="7"/>
        </w:numPr>
        <w:tabs>
          <w:tab w:val="left" w:pos="284"/>
        </w:tabs>
        <w:jc w:val="both"/>
        <w:rPr>
          <w:sz w:val="22"/>
          <w:szCs w:val="22"/>
          <w:lang w:val="en-GB"/>
        </w:rPr>
      </w:pPr>
      <w:r w:rsidRPr="006D5F3C">
        <w:rPr>
          <w:sz w:val="22"/>
          <w:szCs w:val="22"/>
          <w:lang w:val="en-GB"/>
        </w:rPr>
        <w:t>Minimum 2 contracts of similar value, nature and complexity imp</w:t>
      </w:r>
      <w:r>
        <w:rPr>
          <w:sz w:val="22"/>
          <w:szCs w:val="22"/>
          <w:lang w:val="en-GB"/>
        </w:rPr>
        <w:t xml:space="preserve">lemented over the last 5 years. </w:t>
      </w:r>
    </w:p>
    <w:p w14:paraId="15683C0B" w14:textId="51FF274A" w:rsidR="00781603" w:rsidRPr="006D5F3C" w:rsidRDefault="006D5F3C" w:rsidP="005D34C7">
      <w:pPr>
        <w:pStyle w:val="Blockquote"/>
        <w:tabs>
          <w:tab w:val="left" w:pos="284"/>
        </w:tabs>
        <w:ind w:left="0"/>
        <w:jc w:val="both"/>
        <w:rPr>
          <w:sz w:val="22"/>
          <w:szCs w:val="22"/>
          <w:lang w:val="en-GB"/>
        </w:rPr>
      </w:pPr>
      <w:r w:rsidRPr="006D5F3C">
        <w:rPr>
          <w:sz w:val="22"/>
          <w:szCs w:val="22"/>
          <w:lang w:val="en-GB"/>
        </w:rPr>
        <w:t>(For JV/Consortium/Association, all Parties cumulatively should meet requirement)</w:t>
      </w: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0E38ECC8" w:rsidR="006F5FD0" w:rsidRPr="00B33EE6" w:rsidRDefault="00A20D52" w:rsidP="00584BF4">
      <w:pPr>
        <w:ind w:left="709" w:hanging="349"/>
        <w:outlineLvl w:val="0"/>
        <w:rPr>
          <w:sz w:val="22"/>
          <w:szCs w:val="22"/>
          <w:lang w:val="en-GB"/>
        </w:rPr>
      </w:pPr>
      <w:r>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8863EF">
      <w:pPr>
        <w:rPr>
          <w:sz w:val="22"/>
          <w:szCs w:val="22"/>
          <w:lang w:val="en-GB"/>
        </w:rPr>
      </w:pPr>
      <w:r>
        <w:rPr>
          <w:snapToGrid/>
          <w:sz w:val="22"/>
          <w:szCs w:val="22"/>
          <w:lang w:val="en-GB"/>
        </w:rPr>
        <w:pict w14:anchorId="45BE0657">
          <v:line id="_x0000_s1031" style="position:absolute;z-index:5"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15ED7C2C" w:rsidR="006F5FD0" w:rsidRPr="00B33EE6" w:rsidRDefault="00A20D52" w:rsidP="00584BF4">
      <w:pPr>
        <w:keepNext/>
        <w:ind w:left="709" w:hanging="352"/>
        <w:outlineLvl w:val="0"/>
        <w:rPr>
          <w:sz w:val="22"/>
          <w:szCs w:val="22"/>
          <w:lang w:val="en-GB"/>
        </w:rPr>
      </w:pPr>
      <w:r>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00994EA3" w:rsidRPr="00B33EE6">
        <w:rPr>
          <w:rStyle w:val="Strong"/>
          <w:sz w:val="22"/>
          <w:szCs w:val="22"/>
          <w:lang w:val="en-GB"/>
        </w:rPr>
        <w:t>tenders</w:t>
      </w:r>
    </w:p>
    <w:p w14:paraId="61DD2F00" w14:textId="6A463802"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w:t>
      </w:r>
      <w:r w:rsidRPr="006D5F3C">
        <w:rPr>
          <w:rStyle w:val="Emphasis"/>
          <w:i w:val="0"/>
          <w:sz w:val="22"/>
          <w:szCs w:val="22"/>
          <w:lang w:val="en-GB"/>
        </w:rPr>
        <w:t xml:space="preserve">is </w:t>
      </w:r>
      <w:r w:rsidR="00E0219A">
        <w:rPr>
          <w:rStyle w:val="Emphasis"/>
          <w:i w:val="0"/>
          <w:sz w:val="22"/>
          <w:szCs w:val="22"/>
          <w:lang w:val="en-GB"/>
        </w:rPr>
        <w:t>30</w:t>
      </w:r>
      <w:r w:rsidR="006D5F3C">
        <w:rPr>
          <w:rStyle w:val="Emphasis"/>
          <w:i w:val="0"/>
          <w:sz w:val="22"/>
          <w:szCs w:val="22"/>
          <w:lang w:val="en-GB"/>
        </w:rPr>
        <w:t>.07.2022</w:t>
      </w:r>
    </w:p>
    <w:p w14:paraId="7D60F8E6" w14:textId="5D50C688" w:rsidR="006F5FD0" w:rsidRPr="00B33EE6" w:rsidRDefault="00A20D52" w:rsidP="00584BF4">
      <w:pPr>
        <w:ind w:left="709" w:hanging="349"/>
        <w:outlineLvl w:val="0"/>
        <w:rPr>
          <w:sz w:val="22"/>
          <w:szCs w:val="22"/>
          <w:lang w:val="en-GB"/>
        </w:rPr>
      </w:pPr>
      <w:r>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994EA3"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8863EF"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00B5ADC0" w:rsidR="006F5FD0" w:rsidRPr="00B33EE6" w:rsidRDefault="00A20D52" w:rsidP="00584BF4">
      <w:pPr>
        <w:ind w:left="709" w:hanging="349"/>
        <w:outlineLvl w:val="0"/>
        <w:rPr>
          <w:sz w:val="22"/>
          <w:szCs w:val="22"/>
          <w:lang w:val="en-GB"/>
        </w:rPr>
      </w:pPr>
      <w:r>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How </w:t>
      </w:r>
      <w:r w:rsidR="006714ED" w:rsidRPr="00B33EE6">
        <w:rPr>
          <w:rStyle w:val="Strong"/>
          <w:sz w:val="22"/>
          <w:szCs w:val="22"/>
          <w:lang w:val="en-GB"/>
        </w:rPr>
        <w:t>tenders</w:t>
      </w:r>
      <w:r w:rsidR="006F5FD0"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60750F88"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A20D52">
        <w:rPr>
          <w:rStyle w:val="Strong"/>
          <w:sz w:val="22"/>
          <w:szCs w:val="22"/>
          <w:lang w:val="en-GB"/>
        </w:rPr>
        <w:t>0</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3EF4AC67" w:rsidR="006F5FD0" w:rsidRPr="00B33EE6" w:rsidRDefault="003262FC" w:rsidP="00A171EA">
      <w:pPr>
        <w:keepNext/>
        <w:ind w:left="709" w:hanging="352"/>
        <w:outlineLvl w:val="0"/>
        <w:rPr>
          <w:sz w:val="22"/>
          <w:szCs w:val="22"/>
          <w:lang w:val="en-GB"/>
        </w:rPr>
      </w:pPr>
      <w:r w:rsidRPr="00B33EE6">
        <w:rPr>
          <w:rStyle w:val="Strong"/>
          <w:sz w:val="22"/>
          <w:szCs w:val="22"/>
          <w:lang w:val="en-GB"/>
        </w:rPr>
        <w:lastRenderedPageBreak/>
        <w:t>2</w:t>
      </w:r>
      <w:r w:rsidR="00A20D52">
        <w:rPr>
          <w:rStyle w:val="Strong"/>
          <w:sz w:val="22"/>
          <w:szCs w:val="22"/>
          <w:lang w:val="en-GB"/>
        </w:rPr>
        <w:t>1</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0BA94DE5" w:rsidR="00E9047D" w:rsidRPr="00F9055E" w:rsidRDefault="00A20D52" w:rsidP="00E9047D">
      <w:pPr>
        <w:pStyle w:val="Blockquote"/>
        <w:jc w:val="both"/>
        <w:rPr>
          <w:b/>
          <w:sz w:val="22"/>
          <w:szCs w:val="22"/>
          <w:lang w:val="en-GB"/>
        </w:rPr>
      </w:pPr>
      <w:r>
        <w:rPr>
          <w:b/>
          <w:sz w:val="22"/>
          <w:szCs w:val="22"/>
          <w:lang w:val="en-GB"/>
        </w:rPr>
        <w:t>22</w:t>
      </w:r>
      <w:r w:rsidR="008272C0" w:rsidRPr="00F9055E">
        <w:rPr>
          <w:b/>
          <w:sz w:val="22"/>
          <w:szCs w:val="22"/>
          <w:lang w:val="en-GB"/>
        </w:rPr>
        <w:t xml:space="preserve">. </w:t>
      </w:r>
      <w:r w:rsidR="00E9047D" w:rsidRPr="00F9055E">
        <w:rPr>
          <w:b/>
          <w:sz w:val="22"/>
          <w:szCs w:val="22"/>
          <w:lang w:val="en-GB"/>
        </w:rPr>
        <w:t>Additional information</w:t>
      </w:r>
    </w:p>
    <w:p w14:paraId="2AC4BD41" w14:textId="2848663D" w:rsidR="007F6AA9" w:rsidRPr="008863EF" w:rsidRDefault="00AF412E" w:rsidP="00553AF6">
      <w:pPr>
        <w:widowControl/>
        <w:snapToGrid w:val="0"/>
        <w:spacing w:after="0"/>
        <w:ind w:left="284" w:right="360"/>
        <w:jc w:val="both"/>
        <w:rPr>
          <w:sz w:val="22"/>
          <w:szCs w:val="22"/>
          <w:highlight w:val="lightGray"/>
          <w:lang w:val="en-GB"/>
        </w:rPr>
      </w:pPr>
      <w:r w:rsidRPr="008660AD">
        <w:rPr>
          <w:sz w:val="22"/>
          <w:szCs w:val="22"/>
          <w:lang w:val="en-GB"/>
        </w:rPr>
        <w:t xml:space="preserve">Financial data to be provided by the candidate in the standard application </w:t>
      </w:r>
      <w:r w:rsidR="00932F31" w:rsidRPr="008660AD">
        <w:rPr>
          <w:sz w:val="22"/>
          <w:szCs w:val="22"/>
          <w:lang w:val="en-GB"/>
        </w:rPr>
        <w:t>form must</w:t>
      </w:r>
      <w:r w:rsidRPr="008660AD">
        <w:rPr>
          <w:sz w:val="22"/>
          <w:szCs w:val="22"/>
          <w:lang w:val="en-GB"/>
        </w:rPr>
        <w:t xml:space="preserve"> be expressed in </w:t>
      </w:r>
      <w:r w:rsidRPr="00553AF6">
        <w:rPr>
          <w:sz w:val="22"/>
          <w:szCs w:val="22"/>
          <w:lang w:val="en-GB"/>
        </w:rPr>
        <w:t>EUR</w:t>
      </w:r>
      <w:r w:rsidR="00553AF6">
        <w:rPr>
          <w:sz w:val="22"/>
          <w:szCs w:val="22"/>
          <w:lang w:val="en-GB"/>
        </w:rPr>
        <w:t>.</w:t>
      </w:r>
    </w:p>
    <w:sectPr w:rsidR="007F6AA9" w:rsidRPr="008863EF" w:rsidSect="00E147D3">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6D1459" w14:textId="77777777" w:rsidR="008863EF" w:rsidRDefault="008863EF">
      <w:r>
        <w:separator/>
      </w:r>
    </w:p>
  </w:endnote>
  <w:endnote w:type="continuationSeparator" w:id="0">
    <w:p w14:paraId="74E66743" w14:textId="77777777" w:rsidR="008863EF" w:rsidRDefault="00886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2D849457" w:rsidR="00EF0A8C" w:rsidRPr="00B33EE6" w:rsidRDefault="00E97A06" w:rsidP="00F9055E">
    <w:pPr>
      <w:pStyle w:val="Footer"/>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506E50">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506E50">
      <w:rPr>
        <w:rStyle w:val="PageNumber"/>
        <w:noProof/>
        <w:sz w:val="18"/>
        <w:szCs w:val="18"/>
        <w:lang w:val="en-GB"/>
      </w:rPr>
      <w:t>6</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2C537" w14:textId="77777777" w:rsidR="008863EF" w:rsidRDefault="008863EF">
      <w:r>
        <w:separator/>
      </w:r>
    </w:p>
  </w:footnote>
  <w:footnote w:type="continuationSeparator" w:id="0">
    <w:p w14:paraId="1E8CD155" w14:textId="77777777" w:rsidR="008863EF" w:rsidRDefault="008863EF">
      <w:r>
        <w:continuationSeparator/>
      </w:r>
    </w:p>
  </w:footnote>
  <w:footnote w:id="1">
    <w:p w14:paraId="662F1FE4" w14:textId="77777777" w:rsidR="00DA5413" w:rsidRPr="001109B5" w:rsidRDefault="00DA5413" w:rsidP="00DA5413">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8E75DD9" w14:textId="77777777" w:rsidR="00DA5413" w:rsidRPr="001109B5" w:rsidRDefault="00DA5413" w:rsidP="00DA5413">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224E5190"/>
    <w:multiLevelType w:val="hybridMultilevel"/>
    <w:tmpl w:val="AEF0C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10C48B8"/>
    <w:multiLevelType w:val="hybridMultilevel"/>
    <w:tmpl w:val="2C0C2912"/>
    <w:lvl w:ilvl="0" w:tplc="E44CC7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5" w15:restartNumberingAfterBreak="0">
    <w:nsid w:val="73930F0F"/>
    <w:multiLevelType w:val="hybridMultilevel"/>
    <w:tmpl w:val="DEA4C290"/>
    <w:lvl w:ilvl="0" w:tplc="853CE09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B855F9"/>
    <w:multiLevelType w:val="hybridMultilevel"/>
    <w:tmpl w:val="FD567E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1"/>
  </w:num>
  <w:num w:numId="5">
    <w:abstractNumId w:val="3"/>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27DE2"/>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04B4"/>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A007E"/>
    <w:rsid w:val="002B2145"/>
    <w:rsid w:val="002D266E"/>
    <w:rsid w:val="002D4121"/>
    <w:rsid w:val="002E1B83"/>
    <w:rsid w:val="002E2635"/>
    <w:rsid w:val="002E7D33"/>
    <w:rsid w:val="002F4E69"/>
    <w:rsid w:val="002F5486"/>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2DA"/>
    <w:rsid w:val="0039347D"/>
    <w:rsid w:val="003947E7"/>
    <w:rsid w:val="00397073"/>
    <w:rsid w:val="003A4357"/>
    <w:rsid w:val="003B1B35"/>
    <w:rsid w:val="003C1515"/>
    <w:rsid w:val="003D16FB"/>
    <w:rsid w:val="003D6CAD"/>
    <w:rsid w:val="003E782D"/>
    <w:rsid w:val="0040360C"/>
    <w:rsid w:val="004108A4"/>
    <w:rsid w:val="00424124"/>
    <w:rsid w:val="0043533D"/>
    <w:rsid w:val="00440453"/>
    <w:rsid w:val="00446A4B"/>
    <w:rsid w:val="00452ED8"/>
    <w:rsid w:val="0045494F"/>
    <w:rsid w:val="004567DF"/>
    <w:rsid w:val="00457D9A"/>
    <w:rsid w:val="00472630"/>
    <w:rsid w:val="00473883"/>
    <w:rsid w:val="00476D80"/>
    <w:rsid w:val="00480B5C"/>
    <w:rsid w:val="004850B4"/>
    <w:rsid w:val="004901C2"/>
    <w:rsid w:val="004957E5"/>
    <w:rsid w:val="004A2894"/>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6E50"/>
    <w:rsid w:val="005070DB"/>
    <w:rsid w:val="00510864"/>
    <w:rsid w:val="00513F0F"/>
    <w:rsid w:val="00517ADA"/>
    <w:rsid w:val="0054183B"/>
    <w:rsid w:val="005462B4"/>
    <w:rsid w:val="00551429"/>
    <w:rsid w:val="00553AF6"/>
    <w:rsid w:val="00553C32"/>
    <w:rsid w:val="00560887"/>
    <w:rsid w:val="0056183E"/>
    <w:rsid w:val="005635F3"/>
    <w:rsid w:val="005639EC"/>
    <w:rsid w:val="00565A69"/>
    <w:rsid w:val="00571687"/>
    <w:rsid w:val="00572F15"/>
    <w:rsid w:val="00573F7A"/>
    <w:rsid w:val="00584BF4"/>
    <w:rsid w:val="00584D96"/>
    <w:rsid w:val="00590ADB"/>
    <w:rsid w:val="005A21DC"/>
    <w:rsid w:val="005A5EE9"/>
    <w:rsid w:val="005B35A2"/>
    <w:rsid w:val="005B4F80"/>
    <w:rsid w:val="005B5E3C"/>
    <w:rsid w:val="005C71EF"/>
    <w:rsid w:val="005D34C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5F3C"/>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0AC7"/>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3EF"/>
    <w:rsid w:val="00894E29"/>
    <w:rsid w:val="0089693D"/>
    <w:rsid w:val="008A1184"/>
    <w:rsid w:val="008A1514"/>
    <w:rsid w:val="008B0830"/>
    <w:rsid w:val="008B4DAC"/>
    <w:rsid w:val="008B77CD"/>
    <w:rsid w:val="008C3178"/>
    <w:rsid w:val="008C68A0"/>
    <w:rsid w:val="008D1243"/>
    <w:rsid w:val="008D3E45"/>
    <w:rsid w:val="008D4DCA"/>
    <w:rsid w:val="008E2D12"/>
    <w:rsid w:val="008F294D"/>
    <w:rsid w:val="009017AA"/>
    <w:rsid w:val="009055F3"/>
    <w:rsid w:val="009066B6"/>
    <w:rsid w:val="00907556"/>
    <w:rsid w:val="00913817"/>
    <w:rsid w:val="00925F7F"/>
    <w:rsid w:val="009260B8"/>
    <w:rsid w:val="0092731B"/>
    <w:rsid w:val="009317C0"/>
    <w:rsid w:val="00932F31"/>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F0852"/>
    <w:rsid w:val="009F128B"/>
    <w:rsid w:val="009F5FB4"/>
    <w:rsid w:val="00A00BD5"/>
    <w:rsid w:val="00A021B5"/>
    <w:rsid w:val="00A02E6B"/>
    <w:rsid w:val="00A03055"/>
    <w:rsid w:val="00A046E7"/>
    <w:rsid w:val="00A04B00"/>
    <w:rsid w:val="00A11931"/>
    <w:rsid w:val="00A171EA"/>
    <w:rsid w:val="00A20D52"/>
    <w:rsid w:val="00A22177"/>
    <w:rsid w:val="00A236A4"/>
    <w:rsid w:val="00A35081"/>
    <w:rsid w:val="00A36F1C"/>
    <w:rsid w:val="00A433A6"/>
    <w:rsid w:val="00A43E7A"/>
    <w:rsid w:val="00A46BB9"/>
    <w:rsid w:val="00A46ED3"/>
    <w:rsid w:val="00A504E1"/>
    <w:rsid w:val="00A666EC"/>
    <w:rsid w:val="00A72719"/>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6FD8"/>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76F46"/>
    <w:rsid w:val="00C836E5"/>
    <w:rsid w:val="00C83C65"/>
    <w:rsid w:val="00C840D0"/>
    <w:rsid w:val="00C867B9"/>
    <w:rsid w:val="00C87532"/>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A5413"/>
    <w:rsid w:val="00DC0253"/>
    <w:rsid w:val="00DC4F70"/>
    <w:rsid w:val="00DC753D"/>
    <w:rsid w:val="00DD0CD4"/>
    <w:rsid w:val="00DE3C11"/>
    <w:rsid w:val="00DF04F0"/>
    <w:rsid w:val="00E0219A"/>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34BF"/>
    <w:rsid w:val="00EF6A28"/>
    <w:rsid w:val="00EF6FBF"/>
    <w:rsid w:val="00EF7C6B"/>
    <w:rsid w:val="00F014D9"/>
    <w:rsid w:val="00F05BF1"/>
    <w:rsid w:val="00F07EE2"/>
    <w:rsid w:val="00F1778E"/>
    <w:rsid w:val="00F17A90"/>
    <w:rsid w:val="00F233FF"/>
    <w:rsid w:val="00F27C45"/>
    <w:rsid w:val="00F33C45"/>
    <w:rsid w:val="00F4457F"/>
    <w:rsid w:val="00F46873"/>
    <w:rsid w:val="00F4786D"/>
    <w:rsid w:val="00F504CC"/>
    <w:rsid w:val="00F50E8B"/>
    <w:rsid w:val="00F60220"/>
    <w:rsid w:val="00F76A8F"/>
    <w:rsid w:val="00F77C8A"/>
    <w:rsid w:val="00F86AAA"/>
    <w:rsid w:val="00F9055E"/>
    <w:rsid w:val="00F91683"/>
    <w:rsid w:val="00FA17FC"/>
    <w:rsid w:val="00FB17AC"/>
    <w:rsid w:val="00FC622D"/>
    <w:rsid w:val="00FD5161"/>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Calibri" w:hAnsi="Calibri"/>
      <w:b/>
      <w:b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2"/>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rPr>
  </w:style>
  <w:style w:type="character" w:customStyle="1" w:styleId="Heading4Char">
    <w:name w:val="Heading 4 Char"/>
    <w:link w:val="Heading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chapterTitleCode=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2.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24C6AC-1B0C-4A8E-85F5-7D7F3A133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6</Pages>
  <Words>1791</Words>
  <Characters>10214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11982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Valmira</cp:lastModifiedBy>
  <cp:revision>30</cp:revision>
  <cp:lastPrinted>2016-05-31T08:36:00Z</cp:lastPrinted>
  <dcterms:created xsi:type="dcterms:W3CDTF">2021-06-23T07:58:00Z</dcterms:created>
  <dcterms:modified xsi:type="dcterms:W3CDTF">2022-06-30T12:43:00Z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