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316F6" w14:textId="042FAA9F"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13CC1732"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 xml:space="preserve">Article </w:t>
      </w:r>
      <w:r w:rsidR="00D85ADE">
        <w:rPr>
          <w:rFonts w:ascii="Times New Roman" w:hAnsi="Times New Roman"/>
          <w:b/>
          <w:sz w:val="24"/>
          <w:szCs w:val="24"/>
        </w:rPr>
        <w:t>1</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52EBB663" w:rsidR="0047783A" w:rsidRPr="003D6B6C" w:rsidRDefault="00D85ADE" w:rsidP="004F7A0E">
      <w:pPr>
        <w:ind w:left="1134" w:hanging="567"/>
        <w:rPr>
          <w:rFonts w:ascii="Times New Roman" w:hAnsi="Times New Roman"/>
          <w:sz w:val="22"/>
          <w:szCs w:val="22"/>
        </w:rPr>
      </w:pPr>
      <w:r>
        <w:rPr>
          <w:rFonts w:ascii="Times New Roman" w:hAnsi="Times New Roman"/>
          <w:sz w:val="22"/>
          <w:szCs w:val="22"/>
        </w:rPr>
        <w:t>1</w:t>
      </w:r>
      <w:r w:rsidR="0047783A" w:rsidRPr="003D6B6C">
        <w:rPr>
          <w:rFonts w:ascii="Times New Roman" w:hAnsi="Times New Roman"/>
          <w:sz w:val="22"/>
          <w:szCs w:val="22"/>
        </w:rPr>
        <w:t>.</w:t>
      </w:r>
      <w:r w:rsidR="0086688D" w:rsidRPr="003D6B6C">
        <w:rPr>
          <w:rFonts w:ascii="Times New Roman" w:hAnsi="Times New Roman"/>
          <w:sz w:val="22"/>
          <w:szCs w:val="22"/>
        </w:rPr>
        <w:t>1</w:t>
      </w:r>
      <w:r w:rsidR="0047783A"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0047783A" w:rsidRPr="003D6B6C">
        <w:rPr>
          <w:rFonts w:ascii="Times New Roman" w:hAnsi="Times New Roman"/>
          <w:sz w:val="22"/>
          <w:szCs w:val="22"/>
        </w:rPr>
        <w:t>be English.</w:t>
      </w:r>
    </w:p>
    <w:p w14:paraId="3308F28E" w14:textId="7A706BD5"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 xml:space="preserve">Article </w:t>
      </w:r>
      <w:r w:rsidR="00D85ADE">
        <w:rPr>
          <w:rFonts w:ascii="Times New Roman" w:hAnsi="Times New Roman"/>
          <w:b/>
          <w:sz w:val="24"/>
          <w:szCs w:val="24"/>
        </w:rPr>
        <w:t>2</w:t>
      </w:r>
      <w:r w:rsidRPr="003D6B6C">
        <w:rPr>
          <w:rFonts w:ascii="Times New Roman" w:hAnsi="Times New Roman"/>
          <w:b/>
          <w:sz w:val="24"/>
          <w:szCs w:val="24"/>
        </w:rPr>
        <w:tab/>
        <w:t>Communications</w:t>
      </w:r>
      <w:bookmarkEnd w:id="2"/>
    </w:p>
    <w:p w14:paraId="559A575F" w14:textId="06B3B46B" w:rsidR="00D85ADE" w:rsidRDefault="00D85ADE" w:rsidP="00D85ADE">
      <w:pPr>
        <w:ind w:left="1134" w:hanging="567"/>
        <w:rPr>
          <w:rFonts w:ascii="Times New Roman" w:hAnsi="Times New Roman"/>
          <w:sz w:val="22"/>
          <w:szCs w:val="22"/>
        </w:rPr>
      </w:pPr>
      <w:r>
        <w:rPr>
          <w:rFonts w:ascii="Times New Roman" w:hAnsi="Times New Roman"/>
          <w:sz w:val="22"/>
          <w:szCs w:val="22"/>
        </w:rPr>
        <w:t>2.1  Contact persons, addresses of the parties and contact details:</w:t>
      </w:r>
    </w:p>
    <w:p w14:paraId="1D16B998" w14:textId="77777777" w:rsidR="00D85ADE" w:rsidRDefault="00D85ADE" w:rsidP="00D85ADE">
      <w:pPr>
        <w:ind w:left="1134" w:hanging="567"/>
        <w:rPr>
          <w:rFonts w:ascii="Times New Roman" w:hAnsi="Times New Roman"/>
          <w:sz w:val="22"/>
          <w:szCs w:val="22"/>
        </w:rPr>
      </w:pPr>
      <w:r>
        <w:rPr>
          <w:rFonts w:ascii="Times New Roman" w:hAnsi="Times New Roman"/>
          <w:sz w:val="22"/>
          <w:szCs w:val="22"/>
        </w:rPr>
        <w:t>For the Contracting Authority</w:t>
      </w:r>
    </w:p>
    <w:p w14:paraId="0BDACD25" w14:textId="77777777" w:rsidR="00D85ADE" w:rsidRDefault="00D85ADE" w:rsidP="00D85ADE">
      <w:pPr>
        <w:spacing w:before="0" w:after="0"/>
        <w:ind w:left="1134" w:hanging="567"/>
        <w:jc w:val="center"/>
        <w:rPr>
          <w:rFonts w:ascii="Times New Roman" w:hAnsi="Times New Roman"/>
          <w:sz w:val="22"/>
          <w:szCs w:val="22"/>
        </w:rPr>
      </w:pPr>
      <w:r w:rsidRPr="00A1189F">
        <w:rPr>
          <w:rFonts w:ascii="Times New Roman" w:hAnsi="Times New Roman"/>
          <w:sz w:val="22"/>
          <w:szCs w:val="22"/>
        </w:rPr>
        <w:t>Ministry of Defence</w:t>
      </w:r>
    </w:p>
    <w:p w14:paraId="63FCBE82" w14:textId="77777777" w:rsidR="00D85ADE" w:rsidRDefault="00D85ADE" w:rsidP="00D85ADE">
      <w:pPr>
        <w:spacing w:before="0" w:after="0"/>
        <w:ind w:left="1134" w:hanging="567"/>
        <w:jc w:val="center"/>
        <w:rPr>
          <w:rFonts w:ascii="Times New Roman" w:hAnsi="Times New Roman"/>
          <w:sz w:val="22"/>
          <w:szCs w:val="22"/>
        </w:rPr>
      </w:pPr>
      <w:r w:rsidRPr="00A1189F">
        <w:rPr>
          <w:rFonts w:ascii="Times New Roman" w:hAnsi="Times New Roman"/>
          <w:sz w:val="22"/>
          <w:szCs w:val="22"/>
        </w:rPr>
        <w:t>Garrision Skenderbeg, Street of Dibra, no. 3,</w:t>
      </w:r>
    </w:p>
    <w:p w14:paraId="722578A9" w14:textId="77777777" w:rsidR="00D85ADE" w:rsidRDefault="00D85ADE" w:rsidP="00D85ADE">
      <w:pPr>
        <w:spacing w:before="0" w:after="0"/>
        <w:ind w:left="1134" w:hanging="567"/>
        <w:jc w:val="center"/>
        <w:rPr>
          <w:rFonts w:ascii="Times New Roman" w:hAnsi="Times New Roman"/>
          <w:sz w:val="22"/>
          <w:szCs w:val="22"/>
        </w:rPr>
      </w:pPr>
      <w:r w:rsidRPr="00A1189F">
        <w:rPr>
          <w:rFonts w:ascii="Times New Roman" w:hAnsi="Times New Roman"/>
          <w:sz w:val="22"/>
          <w:szCs w:val="22"/>
        </w:rPr>
        <w:t>Tirana</w:t>
      </w:r>
      <w:r>
        <w:rPr>
          <w:rFonts w:ascii="Times New Roman" w:hAnsi="Times New Roman"/>
          <w:sz w:val="22"/>
          <w:szCs w:val="22"/>
        </w:rPr>
        <w:t>, Albania</w:t>
      </w:r>
    </w:p>
    <w:p w14:paraId="2292D9C4" w14:textId="77777777" w:rsidR="00D85ADE" w:rsidRDefault="00D85ADE" w:rsidP="00D85ADE">
      <w:pPr>
        <w:spacing w:before="0" w:after="0"/>
        <w:ind w:left="1134" w:hanging="567"/>
        <w:jc w:val="center"/>
        <w:rPr>
          <w:rFonts w:ascii="Times New Roman" w:hAnsi="Times New Roman"/>
          <w:sz w:val="22"/>
          <w:szCs w:val="22"/>
        </w:rPr>
      </w:pPr>
      <w:r>
        <w:rPr>
          <w:rFonts w:ascii="Times New Roman" w:hAnsi="Times New Roman"/>
          <w:sz w:val="22"/>
          <w:szCs w:val="22"/>
        </w:rPr>
        <w:t xml:space="preserve">Email address: </w:t>
      </w:r>
      <w:hyperlink r:id="rId11" w:history="1">
        <w:r w:rsidRPr="008C2FC7">
          <w:rPr>
            <w:rStyle w:val="Hyperlink"/>
            <w:rFonts w:ascii="Times New Roman" w:hAnsi="Times New Roman"/>
            <w:sz w:val="22"/>
            <w:szCs w:val="22"/>
          </w:rPr>
          <w:t>tobeready@mod.gov.al</w:t>
        </w:r>
      </w:hyperlink>
    </w:p>
    <w:p w14:paraId="76B8FD1B" w14:textId="77777777" w:rsidR="00D85ADE" w:rsidRDefault="00D85ADE" w:rsidP="00D85ADE">
      <w:pPr>
        <w:ind w:left="1134" w:hanging="567"/>
        <w:rPr>
          <w:rFonts w:ascii="Times New Roman" w:hAnsi="Times New Roman"/>
          <w:sz w:val="22"/>
          <w:szCs w:val="22"/>
        </w:rPr>
      </w:pPr>
      <w:r>
        <w:rPr>
          <w:rFonts w:ascii="Times New Roman" w:hAnsi="Times New Roman"/>
          <w:sz w:val="22"/>
          <w:szCs w:val="22"/>
        </w:rPr>
        <w:t>For the Contractor:</w:t>
      </w:r>
    </w:p>
    <w:p w14:paraId="31D2EAE6" w14:textId="77777777" w:rsidR="00D85ADE" w:rsidRPr="003D6B6C" w:rsidRDefault="00D85ADE" w:rsidP="00D85ADE">
      <w:pPr>
        <w:ind w:left="1134" w:hanging="567"/>
        <w:jc w:val="center"/>
        <w:rPr>
          <w:rFonts w:ascii="Times New Roman" w:hAnsi="Times New Roman"/>
          <w:sz w:val="22"/>
          <w:szCs w:val="22"/>
        </w:rPr>
      </w:pPr>
      <w:r>
        <w:rPr>
          <w:rFonts w:ascii="Times New Roman" w:hAnsi="Times New Roman"/>
          <w:sz w:val="22"/>
          <w:szCs w:val="22"/>
        </w:rPr>
        <w:t>&lt;</w:t>
      </w:r>
      <w:r w:rsidRPr="00EC659C">
        <w:rPr>
          <w:rFonts w:ascii="Times New Roman" w:hAnsi="Times New Roman"/>
          <w:sz w:val="22"/>
          <w:szCs w:val="22"/>
        </w:rPr>
        <w:t>contact details of the Contractor</w:t>
      </w:r>
      <w:r>
        <w:rPr>
          <w:rFonts w:ascii="Times New Roman" w:hAnsi="Times New Roman"/>
          <w:sz w:val="22"/>
          <w:szCs w:val="22"/>
        </w:rPr>
        <w:t>&gt;</w:t>
      </w:r>
    </w:p>
    <w:p w14:paraId="794DFE9C" w14:textId="34BB4EC9" w:rsidR="0047783A" w:rsidRDefault="0047783A" w:rsidP="004F7A0E">
      <w:pPr>
        <w:ind w:left="1134" w:hanging="567"/>
        <w:rPr>
          <w:rFonts w:ascii="Times New Roman" w:hAnsi="Times New Roman"/>
          <w:sz w:val="22"/>
          <w:szCs w:val="22"/>
        </w:rPr>
      </w:pPr>
    </w:p>
    <w:p w14:paraId="64860AB2" w14:textId="77777777" w:rsidR="00D85ADE" w:rsidRPr="003D6B6C" w:rsidRDefault="00D85ADE" w:rsidP="00D85ADE">
      <w:pPr>
        <w:tabs>
          <w:tab w:val="left" w:pos="1134"/>
        </w:tabs>
        <w:jc w:val="both"/>
        <w:rPr>
          <w:rFonts w:ascii="Times New Roman" w:hAnsi="Times New Roman"/>
          <w:b/>
          <w:sz w:val="22"/>
          <w:szCs w:val="22"/>
        </w:rPr>
      </w:pPr>
      <w:bookmarkStart w:id="3" w:name="_Toc124934898"/>
      <w:r>
        <w:rPr>
          <w:rFonts w:ascii="Times New Roman" w:hAnsi="Times New Roman"/>
          <w:b/>
          <w:sz w:val="22"/>
          <w:szCs w:val="22"/>
        </w:rPr>
        <w:t>Article 3</w:t>
      </w:r>
      <w:r w:rsidRPr="003D6B6C">
        <w:rPr>
          <w:rFonts w:ascii="Times New Roman" w:hAnsi="Times New Roman"/>
          <w:b/>
          <w:sz w:val="22"/>
          <w:szCs w:val="22"/>
        </w:rPr>
        <w:tab/>
        <w:t xml:space="preserve">General </w:t>
      </w:r>
      <w:r>
        <w:rPr>
          <w:rFonts w:ascii="Times New Roman" w:hAnsi="Times New Roman"/>
          <w:b/>
          <w:sz w:val="22"/>
          <w:szCs w:val="22"/>
        </w:rPr>
        <w:t>o</w:t>
      </w:r>
      <w:r w:rsidRPr="003D6B6C">
        <w:rPr>
          <w:rFonts w:ascii="Times New Roman" w:hAnsi="Times New Roman"/>
          <w:b/>
          <w:sz w:val="22"/>
          <w:szCs w:val="22"/>
        </w:rPr>
        <w:t>bligations</w:t>
      </w:r>
    </w:p>
    <w:p w14:paraId="05552EBA" w14:textId="77777777" w:rsidR="00D85ADE" w:rsidRPr="003D6B6C" w:rsidRDefault="00D85ADE" w:rsidP="00D85ADE">
      <w:pPr>
        <w:tabs>
          <w:tab w:val="left" w:pos="426"/>
        </w:tabs>
        <w:ind w:left="1134" w:right="-1" w:hanging="708"/>
        <w:rPr>
          <w:rFonts w:ascii="Times New Roman" w:hAnsi="Times New Roman"/>
          <w:sz w:val="22"/>
          <w:szCs w:val="22"/>
        </w:rPr>
      </w:pPr>
      <w:r>
        <w:rPr>
          <w:rFonts w:ascii="Times New Roman" w:hAnsi="Times New Roman"/>
          <w:sz w:val="22"/>
          <w:szCs w:val="22"/>
        </w:rPr>
        <w:t>3.1</w:t>
      </w:r>
      <w:r w:rsidRPr="003D6B6C">
        <w:rPr>
          <w:rFonts w:ascii="Times New Roman" w:hAnsi="Times New Roman"/>
          <w:sz w:val="22"/>
          <w:szCs w:val="22"/>
        </w:rPr>
        <w:tab/>
      </w:r>
      <w:r w:rsidRPr="00690727">
        <w:rPr>
          <w:rFonts w:ascii="Times New Roman" w:hAnsi="Times New Roman"/>
          <w:sz w:val="22"/>
          <w:szCs w:val="22"/>
        </w:rPr>
        <w:t xml:space="preserve">Any supplies or equipment delivered under an EU-financed action must be clearly identified and must prominently feature the EU emblem and the phrase 'Provided with the financial support of the European Union' in the operational language of the EU programme and in the local language, in line with the rules lay down in the Communication and Visibility Manual for EU External Actions published on the  website of DG International Partnerships: </w:t>
      </w:r>
      <w:hyperlink r:id="rId12" w:history="1">
        <w:r w:rsidRPr="00AF7F07">
          <w:rPr>
            <w:rStyle w:val="Hyperlink"/>
            <w:rFonts w:ascii="Times New Roman" w:hAnsi="Times New Roman"/>
            <w:sz w:val="22"/>
            <w:szCs w:val="22"/>
          </w:rPr>
          <w:t>https://ec.europa.eu/europeaid/funding/communication-and-visibility-manual-eu-external-actions_en</w:t>
        </w:r>
      </w:hyperlink>
    </w:p>
    <w:p w14:paraId="2FEE43CD" w14:textId="77777777" w:rsidR="00D85ADE" w:rsidRPr="003D6B6C" w:rsidRDefault="00D85ADE" w:rsidP="00D85ADE">
      <w:pPr>
        <w:keepNext/>
        <w:spacing w:before="240"/>
        <w:ind w:left="1134" w:hanging="1134"/>
        <w:jc w:val="both"/>
        <w:rPr>
          <w:rFonts w:ascii="Times New Roman" w:hAnsi="Times New Roman"/>
          <w:b/>
          <w:sz w:val="24"/>
          <w:szCs w:val="24"/>
        </w:rPr>
      </w:pPr>
      <w:r>
        <w:rPr>
          <w:rFonts w:ascii="Times New Roman" w:hAnsi="Times New Roman"/>
          <w:b/>
          <w:sz w:val="24"/>
          <w:szCs w:val="24"/>
        </w:rPr>
        <w:t>Article 4</w:t>
      </w:r>
      <w:r w:rsidRPr="003D6B6C">
        <w:rPr>
          <w:rFonts w:ascii="Times New Roman" w:hAnsi="Times New Roman"/>
          <w:b/>
          <w:sz w:val="24"/>
          <w:szCs w:val="24"/>
        </w:rPr>
        <w:tab/>
        <w:t>Origin</w:t>
      </w:r>
    </w:p>
    <w:p w14:paraId="62ABEC15" w14:textId="77777777" w:rsidR="00D85ADE" w:rsidRPr="003D6B6C" w:rsidRDefault="00D85ADE" w:rsidP="00D85ADE">
      <w:pPr>
        <w:pStyle w:val="Heading2"/>
        <w:keepNext w:val="0"/>
        <w:numPr>
          <w:ilvl w:val="1"/>
          <w:numId w:val="0"/>
        </w:numPr>
        <w:ind w:left="1134" w:hanging="708"/>
        <w:jc w:val="both"/>
        <w:rPr>
          <w:rFonts w:ascii="Times New Roman" w:hAnsi="Times New Roman"/>
          <w:sz w:val="22"/>
          <w:szCs w:val="22"/>
          <w:lang w:val="en-GB"/>
        </w:rPr>
      </w:pPr>
      <w:r>
        <w:rPr>
          <w:rFonts w:ascii="Times New Roman" w:hAnsi="Times New Roman"/>
          <w:sz w:val="22"/>
          <w:szCs w:val="22"/>
          <w:lang w:val="en-GB"/>
        </w:rPr>
        <w:t>4</w:t>
      </w:r>
      <w:r w:rsidRPr="003D6B6C">
        <w:rPr>
          <w:rFonts w:ascii="Times New Roman" w:hAnsi="Times New Roman"/>
          <w:sz w:val="22"/>
          <w:szCs w:val="22"/>
          <w:lang w:val="en-GB"/>
        </w:rPr>
        <w:t>.1</w:t>
      </w:r>
      <w:r w:rsidRPr="003D6B6C">
        <w:rPr>
          <w:rFonts w:ascii="Times New Roman" w:hAnsi="Times New Roman"/>
          <w:sz w:val="22"/>
          <w:szCs w:val="22"/>
          <w:lang w:val="en-GB"/>
        </w:rPr>
        <w:tab/>
        <w:t xml:space="preserve">All goods purchased must originate </w:t>
      </w:r>
      <w:r>
        <w:rPr>
          <w:rFonts w:ascii="Times New Roman" w:hAnsi="Times New Roman"/>
          <w:sz w:val="22"/>
          <w:szCs w:val="22"/>
          <w:lang w:val="en-GB"/>
        </w:rPr>
        <w:t xml:space="preserve">in </w:t>
      </w:r>
      <w:r w:rsidRPr="00FE7134">
        <w:rPr>
          <w:rFonts w:ascii="Times New Roman" w:hAnsi="Times New Roman"/>
          <w:sz w:val="22"/>
          <w:szCs w:val="22"/>
          <w:lang w:val="en-GB"/>
        </w:rPr>
        <w:t>an eligible source country as defined in</w:t>
      </w:r>
      <w:r w:rsidRPr="003D6B6C">
        <w:rPr>
          <w:rFonts w:ascii="Times New Roman" w:hAnsi="Times New Roman"/>
          <w:sz w:val="22"/>
          <w:szCs w:val="22"/>
          <w:lang w:val="en-GB"/>
        </w:rPr>
        <w:t xml:space="preserve"> </w:t>
      </w:r>
      <w:r w:rsidRPr="004F1EDB">
        <w:rPr>
          <w:rFonts w:ascii="Times New Roman" w:hAnsi="Times New Roman"/>
          <w:sz w:val="22"/>
          <w:szCs w:val="22"/>
          <w:lang w:val="en-GB"/>
        </w:rPr>
        <w:t>Instrument for Pre-accession assistance (IPA II)</w:t>
      </w:r>
      <w:r w:rsidRPr="003D6B6C">
        <w:rPr>
          <w:rFonts w:ascii="Times New Roman" w:hAnsi="Times New Roman"/>
          <w:sz w:val="22"/>
          <w:szCs w:val="22"/>
          <w:lang w:val="en-GB"/>
        </w:rPr>
        <w:t>.</w:t>
      </w:r>
      <w:r>
        <w:rPr>
          <w:rFonts w:ascii="Times New Roman" w:hAnsi="Times New Roman"/>
          <w:sz w:val="22"/>
          <w:szCs w:val="22"/>
          <w:lang w:val="en-GB"/>
        </w:rPr>
        <w:t xml:space="preserve"> </w:t>
      </w:r>
      <w:r w:rsidRPr="004F1EDB">
        <w:rPr>
          <w:rFonts w:ascii="Times New Roman" w:hAnsi="Times New Roman"/>
          <w:sz w:val="22"/>
          <w:szCs w:val="22"/>
          <w:lang w:val="en-GB"/>
        </w:rPr>
        <w:t>See Annex A2 of the practical guide.</w:t>
      </w:r>
      <w:r w:rsidRPr="003D6B6C">
        <w:rPr>
          <w:rFonts w:ascii="Times New Roman" w:hAnsi="Times New Roman"/>
          <w:sz w:val="22"/>
          <w:szCs w:val="22"/>
          <w:lang w:val="en-GB"/>
        </w:rPr>
        <w:t xml:space="preserve"> For these purposes, ‘origin’ means the place where the goods are mined, grown, produced or manufactured</w:t>
      </w:r>
      <w:r>
        <w:rPr>
          <w:rFonts w:ascii="Times New Roman" w:hAnsi="Times New Roman"/>
          <w:sz w:val="22"/>
          <w:szCs w:val="22"/>
          <w:lang w:val="en-GB"/>
        </w:rPr>
        <w:t>.</w:t>
      </w:r>
      <w:r w:rsidRPr="003D6B6C">
        <w:rPr>
          <w:rFonts w:ascii="Times New Roman" w:hAnsi="Times New Roman"/>
          <w:sz w:val="22"/>
          <w:szCs w:val="22"/>
          <w:lang w:val="en-GB"/>
        </w:rPr>
        <w:t xml:space="preserve"> The origin of the goods must be determined according to the EU Customs Code or to the relevant international agreement applicable.</w:t>
      </w:r>
    </w:p>
    <w:p w14:paraId="788CCEF2" w14:textId="77777777" w:rsidR="00D85ADE" w:rsidRPr="003D6B6C" w:rsidRDefault="00D85ADE" w:rsidP="00D85ADE">
      <w:pPr>
        <w:spacing w:before="240"/>
        <w:ind w:left="1134" w:hanging="1134"/>
        <w:jc w:val="both"/>
        <w:rPr>
          <w:rFonts w:ascii="Times New Roman" w:hAnsi="Times New Roman"/>
          <w:b/>
          <w:sz w:val="24"/>
          <w:szCs w:val="24"/>
        </w:rPr>
      </w:pPr>
      <w:r>
        <w:rPr>
          <w:rFonts w:ascii="Times New Roman" w:hAnsi="Times New Roman"/>
          <w:b/>
          <w:sz w:val="24"/>
          <w:szCs w:val="24"/>
        </w:rPr>
        <w:t>Article 5</w:t>
      </w:r>
      <w:r w:rsidRPr="003D6B6C">
        <w:rPr>
          <w:rFonts w:ascii="Times New Roman" w:hAnsi="Times New Roman"/>
          <w:b/>
          <w:sz w:val="24"/>
          <w:szCs w:val="24"/>
        </w:rPr>
        <w:tab/>
        <w:t>Performance guarantee</w:t>
      </w:r>
    </w:p>
    <w:p w14:paraId="4356372E" w14:textId="35CBC80A" w:rsidR="00D85ADE" w:rsidRPr="003D6B6C" w:rsidRDefault="00673575" w:rsidP="00D85ADE">
      <w:pPr>
        <w:ind w:left="1134" w:hanging="709"/>
        <w:jc w:val="both"/>
        <w:rPr>
          <w:rFonts w:ascii="Times New Roman" w:hAnsi="Times New Roman"/>
          <w:sz w:val="22"/>
          <w:szCs w:val="22"/>
        </w:rPr>
      </w:pPr>
      <w:r>
        <w:rPr>
          <w:rFonts w:ascii="Times New Roman" w:hAnsi="Times New Roman"/>
          <w:sz w:val="22"/>
          <w:szCs w:val="22"/>
        </w:rPr>
        <w:lastRenderedPageBreak/>
        <w:t>11.1</w:t>
      </w:r>
      <w:r>
        <w:rPr>
          <w:rFonts w:ascii="Times New Roman" w:hAnsi="Times New Roman"/>
          <w:sz w:val="22"/>
          <w:szCs w:val="22"/>
        </w:rPr>
        <w:tab/>
      </w:r>
      <w:r w:rsidR="00D85ADE" w:rsidRPr="00673575">
        <w:rPr>
          <w:rFonts w:ascii="Times New Roman" w:hAnsi="Times New Roman"/>
          <w:sz w:val="22"/>
          <w:szCs w:val="22"/>
        </w:rPr>
        <w:t>The amount</w:t>
      </w:r>
      <w:bookmarkStart w:id="4" w:name="_GoBack"/>
      <w:bookmarkEnd w:id="4"/>
      <w:r w:rsidR="00D85ADE" w:rsidRPr="00673575">
        <w:rPr>
          <w:rFonts w:ascii="Times New Roman" w:hAnsi="Times New Roman"/>
          <w:sz w:val="22"/>
          <w:szCs w:val="22"/>
        </w:rPr>
        <w:t xml:space="preserve"> of the performance guarantee shall be</w:t>
      </w:r>
      <w:r w:rsidRPr="00673575">
        <w:rPr>
          <w:rFonts w:ascii="Times New Roman" w:hAnsi="Times New Roman"/>
          <w:sz w:val="22"/>
          <w:szCs w:val="22"/>
        </w:rPr>
        <w:t xml:space="preserve"> 5</w:t>
      </w:r>
      <w:r w:rsidR="00D85ADE" w:rsidRPr="00673575">
        <w:rPr>
          <w:rFonts w:ascii="Times New Roman" w:hAnsi="Times New Roman"/>
          <w:sz w:val="22"/>
          <w:szCs w:val="22"/>
        </w:rPr>
        <w:t>% of the total contract price, including any amounts stipulated in addenda to the contract</w:t>
      </w:r>
      <w:r w:rsidRPr="00673575">
        <w:rPr>
          <w:rFonts w:ascii="Times New Roman" w:hAnsi="Times New Roman"/>
          <w:sz w:val="22"/>
          <w:szCs w:val="22"/>
        </w:rPr>
        <w:t>.</w:t>
      </w:r>
    </w:p>
    <w:p w14:paraId="6A13BD74" w14:textId="77777777" w:rsidR="00287C37" w:rsidRPr="003D6B6C" w:rsidRDefault="00287C37" w:rsidP="00287C37">
      <w:pPr>
        <w:spacing w:before="240"/>
        <w:ind w:left="1134" w:hanging="1134"/>
        <w:jc w:val="both"/>
        <w:rPr>
          <w:rFonts w:ascii="Times New Roman" w:hAnsi="Times New Roman"/>
          <w:b/>
          <w:sz w:val="24"/>
          <w:szCs w:val="24"/>
        </w:rPr>
      </w:pPr>
      <w:bookmarkStart w:id="5" w:name="_Toc124934899"/>
      <w:bookmarkEnd w:id="3"/>
      <w:r>
        <w:rPr>
          <w:rFonts w:ascii="Times New Roman" w:hAnsi="Times New Roman"/>
          <w:b/>
          <w:sz w:val="24"/>
          <w:szCs w:val="24"/>
        </w:rPr>
        <w:t>Article 6</w:t>
      </w:r>
      <w:r w:rsidRPr="003D6B6C">
        <w:rPr>
          <w:rFonts w:ascii="Times New Roman" w:hAnsi="Times New Roman"/>
          <w:b/>
          <w:sz w:val="24"/>
          <w:szCs w:val="24"/>
        </w:rPr>
        <w:tab/>
        <w:t xml:space="preserve">Liabilities and </w:t>
      </w:r>
      <w:r>
        <w:rPr>
          <w:rFonts w:ascii="Times New Roman" w:hAnsi="Times New Roman"/>
          <w:b/>
          <w:sz w:val="24"/>
          <w:szCs w:val="24"/>
        </w:rPr>
        <w:t>i</w:t>
      </w:r>
      <w:r w:rsidRPr="003D6B6C">
        <w:rPr>
          <w:rFonts w:ascii="Times New Roman" w:hAnsi="Times New Roman"/>
          <w:b/>
          <w:sz w:val="24"/>
          <w:szCs w:val="24"/>
        </w:rPr>
        <w:t>nsurance</w:t>
      </w:r>
    </w:p>
    <w:p w14:paraId="1257ECED" w14:textId="77777777" w:rsidR="00287C37" w:rsidRPr="008A760C" w:rsidRDefault="00287C37" w:rsidP="00287C37">
      <w:pPr>
        <w:tabs>
          <w:tab w:val="left" w:pos="1134"/>
        </w:tabs>
        <w:spacing w:before="240"/>
        <w:ind w:left="708" w:hanging="708"/>
        <w:jc w:val="both"/>
        <w:rPr>
          <w:rFonts w:ascii="Times New Roman" w:hAnsi="Times New Roman"/>
          <w:sz w:val="22"/>
          <w:szCs w:val="22"/>
          <w:highlight w:val="yellow"/>
        </w:rPr>
      </w:pPr>
      <w:r>
        <w:rPr>
          <w:rFonts w:ascii="Times New Roman" w:hAnsi="Times New Roman"/>
          <w:sz w:val="22"/>
          <w:szCs w:val="22"/>
        </w:rPr>
        <w:t>6</w:t>
      </w:r>
      <w:r w:rsidRPr="003D6B6C">
        <w:rPr>
          <w:rFonts w:ascii="Times New Roman" w:hAnsi="Times New Roman"/>
          <w:sz w:val="22"/>
          <w:szCs w:val="22"/>
        </w:rPr>
        <w:t>.1</w:t>
      </w:r>
      <w:r>
        <w:rPr>
          <w:rFonts w:ascii="Times New Roman" w:hAnsi="Times New Roman"/>
          <w:sz w:val="22"/>
          <w:szCs w:val="22"/>
        </w:rPr>
        <w:t>(</w:t>
      </w:r>
      <w:r w:rsidRPr="003D6B6C">
        <w:rPr>
          <w:rFonts w:ascii="Times New Roman" w:hAnsi="Times New Roman"/>
          <w:sz w:val="22"/>
          <w:szCs w:val="22"/>
        </w:rPr>
        <w:t>a)</w:t>
      </w:r>
      <w:r>
        <w:rPr>
          <w:rFonts w:ascii="Times New Roman" w:hAnsi="Times New Roman"/>
          <w:sz w:val="22"/>
          <w:szCs w:val="22"/>
        </w:rPr>
        <w:tab/>
      </w:r>
      <w:r w:rsidRPr="008A760C">
        <w:rPr>
          <w:rFonts w:ascii="Times New Roman" w:hAnsi="Times New Roman"/>
          <w:sz w:val="22"/>
          <w:szCs w:val="22"/>
        </w:rPr>
        <w:t>By way of derogation from Article 12.1(a), paragraph 2, of the general conditions, compensation for damage to the supplies resulting from the contractor's liability in respect of the contracting authority is capped at an amount equal to the contract value.</w:t>
      </w:r>
    </w:p>
    <w:p w14:paraId="5228F525" w14:textId="77777777" w:rsidR="00287C37" w:rsidRPr="003D6B6C" w:rsidRDefault="00287C37" w:rsidP="00287C37">
      <w:pPr>
        <w:tabs>
          <w:tab w:val="left" w:pos="1134"/>
        </w:tabs>
        <w:spacing w:before="240"/>
        <w:ind w:left="708" w:hanging="708"/>
        <w:jc w:val="both"/>
        <w:rPr>
          <w:rFonts w:ascii="Times New Roman" w:hAnsi="Times New Roman"/>
          <w:sz w:val="22"/>
          <w:szCs w:val="22"/>
        </w:rPr>
      </w:pPr>
      <w:r>
        <w:rPr>
          <w:rFonts w:ascii="Times New Roman" w:hAnsi="Times New Roman"/>
          <w:sz w:val="22"/>
          <w:szCs w:val="22"/>
        </w:rPr>
        <w:t>6</w:t>
      </w:r>
      <w:r w:rsidRPr="003D6B6C">
        <w:rPr>
          <w:rFonts w:ascii="Times New Roman" w:hAnsi="Times New Roman"/>
          <w:sz w:val="22"/>
          <w:szCs w:val="22"/>
        </w:rPr>
        <w:t>.</w:t>
      </w:r>
      <w:r>
        <w:rPr>
          <w:rFonts w:ascii="Times New Roman" w:hAnsi="Times New Roman"/>
          <w:sz w:val="22"/>
          <w:szCs w:val="22"/>
        </w:rPr>
        <w:t>1(</w:t>
      </w:r>
      <w:r w:rsidRPr="003D6B6C">
        <w:rPr>
          <w:rFonts w:ascii="Times New Roman" w:hAnsi="Times New Roman"/>
          <w:sz w:val="22"/>
          <w:szCs w:val="22"/>
        </w:rPr>
        <w:t>b)</w:t>
      </w:r>
      <w:r>
        <w:rPr>
          <w:rFonts w:ascii="Times New Roman" w:hAnsi="Times New Roman"/>
          <w:sz w:val="22"/>
          <w:szCs w:val="22"/>
        </w:rPr>
        <w:tab/>
      </w:r>
      <w:r w:rsidRPr="00741902">
        <w:rPr>
          <w:rFonts w:ascii="Times New Roman" w:hAnsi="Times New Roman"/>
          <w:sz w:val="22"/>
          <w:szCs w:val="22"/>
        </w:rPr>
        <w:t>By way of derogation from Article 12.1(b), paragraph 2, of the general conditions, compensation for damage resulting from the contractor's liability in respect of the contracting authority is capped at an amount equal to the contract value.</w:t>
      </w:r>
    </w:p>
    <w:p w14:paraId="08517D5D" w14:textId="77777777" w:rsidR="00287C37" w:rsidRDefault="00287C37" w:rsidP="00287C37">
      <w:pPr>
        <w:spacing w:before="0"/>
        <w:ind w:left="709"/>
        <w:jc w:val="both"/>
        <w:rPr>
          <w:rFonts w:ascii="Times New Roman" w:hAnsi="Times New Roman"/>
          <w:sz w:val="22"/>
          <w:szCs w:val="22"/>
        </w:rPr>
      </w:pPr>
      <w:r>
        <w:rPr>
          <w:rFonts w:ascii="Times New Roman" w:hAnsi="Times New Roman"/>
          <w:sz w:val="22"/>
          <w:szCs w:val="22"/>
        </w:rPr>
        <w:t>12.2(</w:t>
      </w:r>
      <w:r w:rsidRPr="003D6B6C">
        <w:rPr>
          <w:rFonts w:ascii="Times New Roman" w:hAnsi="Times New Roman"/>
          <w:sz w:val="22"/>
          <w:szCs w:val="22"/>
        </w:rPr>
        <w:t>b)</w:t>
      </w:r>
      <w:r>
        <w:rPr>
          <w:rFonts w:ascii="Times New Roman" w:hAnsi="Times New Roman"/>
          <w:sz w:val="22"/>
          <w:szCs w:val="22"/>
        </w:rPr>
        <w:t xml:space="preserve"> This contract envisages the use of Incoterms and </w:t>
      </w:r>
      <w:r w:rsidRPr="00EB6EEE">
        <w:rPr>
          <w:rFonts w:ascii="Times New Roman" w:hAnsi="Times New Roman"/>
          <w:sz w:val="22"/>
          <w:szCs w:val="22"/>
        </w:rPr>
        <w:t>the contractor shall provide transport insurance to the extent that it assumes transportation risks.</w:t>
      </w:r>
      <w:r>
        <w:rPr>
          <w:rFonts w:ascii="Times New Roman" w:hAnsi="Times New Roman"/>
          <w:sz w:val="22"/>
          <w:szCs w:val="22"/>
        </w:rPr>
        <w:t xml:space="preserve"> The Incoterms used for this contract is: </w:t>
      </w:r>
    </w:p>
    <w:p w14:paraId="394301FF" w14:textId="77777777" w:rsidR="00287C37" w:rsidRPr="00EC659C" w:rsidRDefault="00287C37" w:rsidP="00287C37">
      <w:pPr>
        <w:spacing w:before="0" w:after="0"/>
        <w:ind w:left="709"/>
        <w:jc w:val="both"/>
        <w:rPr>
          <w:rFonts w:ascii="Times New Roman" w:hAnsi="Times New Roman"/>
          <w:sz w:val="22"/>
          <w:szCs w:val="22"/>
        </w:rPr>
      </w:pPr>
      <w:r w:rsidRPr="00EC659C">
        <w:rPr>
          <w:rFonts w:ascii="Times New Roman" w:hAnsi="Times New Roman"/>
          <w:b/>
          <w:i/>
          <w:iCs/>
          <w:sz w:val="22"/>
          <w:szCs w:val="22"/>
        </w:rPr>
        <w:t>DDP - Delivered Duty Paid</w:t>
      </w:r>
      <w:r w:rsidRPr="00EC659C">
        <w:rPr>
          <w:rFonts w:ascii="Times New Roman" w:hAnsi="Times New Roman"/>
          <w:i/>
          <w:iCs/>
          <w:sz w:val="22"/>
          <w:szCs w:val="22"/>
        </w:rPr>
        <w:t xml:space="preserve">: </w:t>
      </w:r>
      <w:r w:rsidRPr="00EC659C">
        <w:rPr>
          <w:rFonts w:ascii="Times New Roman" w:hAnsi="Times New Roman"/>
          <w:sz w:val="22"/>
          <w:szCs w:val="22"/>
          <w:lang w:val="en"/>
        </w:rPr>
        <w:t>Incoterm which imposes on the seller maximum obligations vis-à-vis transportation and loss risks and damage with the goods:</w:t>
      </w:r>
    </w:p>
    <w:p w14:paraId="5AB069BA" w14:textId="77777777" w:rsidR="00287C37" w:rsidRPr="00C63FE9" w:rsidRDefault="00287C37" w:rsidP="00287C37">
      <w:pPr>
        <w:pStyle w:val="Default"/>
        <w:spacing w:after="120"/>
        <w:ind w:left="709"/>
        <w:jc w:val="both"/>
        <w:rPr>
          <w:color w:val="FF0000"/>
          <w:sz w:val="22"/>
          <w:szCs w:val="22"/>
        </w:rPr>
      </w:pPr>
      <w:r w:rsidRPr="00EC659C">
        <w:rPr>
          <w:i/>
          <w:iCs/>
          <w:color w:val="auto"/>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EC659C">
        <w:rPr>
          <w:rStyle w:val="FootnoteReference"/>
          <w:i/>
          <w:iCs/>
          <w:color w:val="auto"/>
          <w:sz w:val="22"/>
          <w:szCs w:val="22"/>
        </w:rPr>
        <w:footnoteReference w:id="1"/>
      </w:r>
      <w:r w:rsidRPr="00EC659C">
        <w:rPr>
          <w:i/>
          <w:iCs/>
          <w:color w:val="auto"/>
          <w:sz w:val="22"/>
          <w:szCs w:val="22"/>
        </w:rPr>
        <w:t xml:space="preserve"> </w:t>
      </w:r>
      <w:r w:rsidRPr="00EC659C">
        <w:rPr>
          <w:color w:val="auto"/>
          <w:sz w:val="22"/>
          <w:szCs w:val="22"/>
          <w:lang w:val="en"/>
        </w:rPr>
        <w:t>The transfer of risks and costs occurs at the place of unloading of the goods at the agreed place of destination</w:t>
      </w:r>
      <w:r w:rsidRPr="00DC3249">
        <w:rPr>
          <w:color w:val="FF0000"/>
          <w:sz w:val="22"/>
          <w:szCs w:val="22"/>
          <w:lang w:val="en"/>
        </w:rPr>
        <w:t>.</w:t>
      </w:r>
    </w:p>
    <w:p w14:paraId="3CD4F975" w14:textId="77777777" w:rsidR="00287C37" w:rsidRPr="003D6B6C" w:rsidRDefault="00287C37" w:rsidP="00287C37">
      <w:pPr>
        <w:spacing w:before="240"/>
        <w:ind w:left="1134" w:hanging="1134"/>
        <w:jc w:val="both"/>
        <w:rPr>
          <w:rFonts w:ascii="Times New Roman" w:hAnsi="Times New Roman"/>
          <w:b/>
          <w:sz w:val="24"/>
          <w:szCs w:val="24"/>
        </w:rPr>
      </w:pPr>
      <w:r>
        <w:rPr>
          <w:rFonts w:ascii="Times New Roman" w:hAnsi="Times New Roman"/>
          <w:b/>
          <w:sz w:val="24"/>
          <w:szCs w:val="24"/>
        </w:rPr>
        <w:t>Article 7</w:t>
      </w:r>
      <w:r w:rsidRPr="003D6B6C">
        <w:rPr>
          <w:rFonts w:ascii="Times New Roman" w:hAnsi="Times New Roman"/>
          <w:b/>
          <w:sz w:val="24"/>
          <w:szCs w:val="24"/>
        </w:rPr>
        <w:tab/>
        <w:t>Programme of implementation of tasks</w:t>
      </w:r>
    </w:p>
    <w:p w14:paraId="5172E521" w14:textId="5F415816" w:rsidR="00287C37" w:rsidRPr="00EC659C" w:rsidRDefault="00287C37" w:rsidP="00287C37">
      <w:pPr>
        <w:ind w:left="1134" w:hanging="709"/>
        <w:jc w:val="both"/>
        <w:rPr>
          <w:rFonts w:ascii="Times New Roman" w:hAnsi="Times New Roman"/>
          <w:b/>
          <w:sz w:val="22"/>
          <w:szCs w:val="22"/>
        </w:rPr>
      </w:pPr>
      <w:r>
        <w:rPr>
          <w:rFonts w:ascii="Times New Roman" w:hAnsi="Times New Roman"/>
          <w:sz w:val="22"/>
          <w:szCs w:val="22"/>
        </w:rPr>
        <w:t>7</w:t>
      </w:r>
      <w:r w:rsidRPr="003D6B6C">
        <w:rPr>
          <w:rFonts w:ascii="Times New Roman" w:hAnsi="Times New Roman"/>
          <w:sz w:val="22"/>
          <w:szCs w:val="22"/>
        </w:rPr>
        <w:t>.</w:t>
      </w:r>
      <w:r>
        <w:rPr>
          <w:rFonts w:ascii="Times New Roman" w:hAnsi="Times New Roman"/>
          <w:sz w:val="22"/>
          <w:szCs w:val="22"/>
        </w:rPr>
        <w:t>1</w:t>
      </w:r>
      <w:r>
        <w:rPr>
          <w:rFonts w:ascii="Times New Roman" w:hAnsi="Times New Roman"/>
          <w:sz w:val="22"/>
          <w:szCs w:val="22"/>
        </w:rPr>
        <w:tab/>
      </w:r>
      <w:r w:rsidRPr="00EC659C">
        <w:rPr>
          <w:rFonts w:ascii="Times New Roman" w:hAnsi="Times New Roman"/>
          <w:sz w:val="22"/>
          <w:szCs w:val="22"/>
        </w:rPr>
        <w:t>The contractor should deliver the supplies with</w:t>
      </w:r>
      <w:r>
        <w:rPr>
          <w:rFonts w:ascii="Times New Roman" w:hAnsi="Times New Roman"/>
          <w:sz w:val="22"/>
          <w:szCs w:val="22"/>
        </w:rPr>
        <w:t xml:space="preserve">in a maximum period of 12 days </w:t>
      </w:r>
      <w:r w:rsidRPr="00EC659C">
        <w:rPr>
          <w:rFonts w:ascii="Times New Roman" w:hAnsi="Times New Roman"/>
          <w:sz w:val="22"/>
          <w:szCs w:val="22"/>
        </w:rPr>
        <w:t>following the signature of the contract.</w:t>
      </w:r>
    </w:p>
    <w:p w14:paraId="4EF51D70" w14:textId="77777777" w:rsidR="00887092" w:rsidRPr="003D6B6C" w:rsidRDefault="00887092" w:rsidP="00887092">
      <w:pPr>
        <w:spacing w:before="240"/>
        <w:ind w:left="1134" w:hanging="1134"/>
        <w:jc w:val="both"/>
        <w:rPr>
          <w:rFonts w:ascii="Times New Roman" w:hAnsi="Times New Roman"/>
          <w:b/>
          <w:sz w:val="24"/>
          <w:szCs w:val="24"/>
        </w:rPr>
      </w:pPr>
      <w:bookmarkStart w:id="6" w:name="_Toc124934900"/>
      <w:bookmarkEnd w:id="5"/>
      <w:r>
        <w:rPr>
          <w:rFonts w:ascii="Times New Roman" w:hAnsi="Times New Roman"/>
          <w:b/>
          <w:sz w:val="24"/>
          <w:szCs w:val="24"/>
        </w:rPr>
        <w:t xml:space="preserve">Article </w:t>
      </w:r>
      <w:r w:rsidRPr="003D6B6C">
        <w:rPr>
          <w:rFonts w:ascii="Times New Roman" w:hAnsi="Times New Roman"/>
          <w:b/>
          <w:sz w:val="24"/>
          <w:szCs w:val="24"/>
        </w:rPr>
        <w:t>8</w:t>
      </w:r>
      <w:r w:rsidRPr="003D6B6C">
        <w:rPr>
          <w:rFonts w:ascii="Times New Roman" w:hAnsi="Times New Roman"/>
          <w:b/>
          <w:sz w:val="24"/>
          <w:szCs w:val="24"/>
        </w:rPr>
        <w:tab/>
        <w:t xml:space="preserve">Commencement order </w:t>
      </w:r>
    </w:p>
    <w:p w14:paraId="2C7733EC" w14:textId="77777777" w:rsidR="00887092" w:rsidRPr="00EC659C" w:rsidRDefault="00887092" w:rsidP="00887092">
      <w:pPr>
        <w:ind w:left="1134" w:hanging="709"/>
        <w:jc w:val="both"/>
        <w:rPr>
          <w:rFonts w:ascii="Times New Roman" w:hAnsi="Times New Roman"/>
          <w:sz w:val="22"/>
          <w:szCs w:val="22"/>
        </w:rPr>
      </w:pPr>
      <w:r>
        <w:rPr>
          <w:rFonts w:ascii="Times New Roman" w:hAnsi="Times New Roman"/>
          <w:sz w:val="22"/>
          <w:szCs w:val="22"/>
        </w:rPr>
        <w:t>8.1</w:t>
      </w:r>
      <w:r>
        <w:rPr>
          <w:rFonts w:ascii="Times New Roman" w:hAnsi="Times New Roman"/>
          <w:sz w:val="22"/>
          <w:szCs w:val="22"/>
        </w:rPr>
        <w:tab/>
      </w:r>
      <w:r w:rsidRPr="00EC659C">
        <w:rPr>
          <w:rFonts w:ascii="Times New Roman" w:hAnsi="Times New Roman"/>
          <w:sz w:val="22"/>
          <w:szCs w:val="22"/>
        </w:rPr>
        <w:t>The contracting authority shall inform the contractor by administrative order of the date on which implementation of the tasks shall begin.</w:t>
      </w:r>
    </w:p>
    <w:p w14:paraId="740F9D3A" w14:textId="77777777" w:rsidR="00887092" w:rsidRPr="00EC659C" w:rsidRDefault="00887092" w:rsidP="00887092">
      <w:pPr>
        <w:spacing w:before="240"/>
        <w:ind w:left="1134" w:hanging="1134"/>
        <w:jc w:val="both"/>
        <w:rPr>
          <w:rFonts w:ascii="Times New Roman" w:hAnsi="Times New Roman"/>
          <w:b/>
          <w:sz w:val="24"/>
          <w:szCs w:val="24"/>
        </w:rPr>
      </w:pPr>
      <w:r>
        <w:rPr>
          <w:rFonts w:ascii="Times New Roman" w:hAnsi="Times New Roman"/>
          <w:b/>
          <w:sz w:val="24"/>
          <w:szCs w:val="24"/>
        </w:rPr>
        <w:t xml:space="preserve">Article </w:t>
      </w:r>
      <w:r w:rsidRPr="00EC659C">
        <w:rPr>
          <w:rFonts w:ascii="Times New Roman" w:hAnsi="Times New Roman"/>
          <w:b/>
          <w:sz w:val="24"/>
          <w:szCs w:val="24"/>
        </w:rPr>
        <w:t>9</w:t>
      </w:r>
      <w:r w:rsidRPr="00EC659C">
        <w:rPr>
          <w:rFonts w:ascii="Times New Roman" w:hAnsi="Times New Roman"/>
          <w:b/>
          <w:sz w:val="24"/>
          <w:szCs w:val="24"/>
        </w:rPr>
        <w:tab/>
        <w:t>Period of implementation of the tasks</w:t>
      </w:r>
    </w:p>
    <w:p w14:paraId="160FB8A1" w14:textId="22E3421D" w:rsidR="00887092" w:rsidRPr="00EC659C" w:rsidRDefault="00887092" w:rsidP="00887092">
      <w:pPr>
        <w:ind w:left="1134" w:hanging="709"/>
        <w:jc w:val="both"/>
        <w:rPr>
          <w:rFonts w:ascii="Times New Roman" w:hAnsi="Times New Roman"/>
          <w:b/>
          <w:sz w:val="22"/>
          <w:szCs w:val="22"/>
        </w:rPr>
      </w:pPr>
      <w:r w:rsidRPr="00EC659C">
        <w:rPr>
          <w:rFonts w:ascii="Times New Roman" w:hAnsi="Times New Roman"/>
          <w:sz w:val="22"/>
          <w:szCs w:val="22"/>
        </w:rPr>
        <w:t>9.1</w:t>
      </w:r>
      <w:r w:rsidRPr="00EC659C">
        <w:rPr>
          <w:rFonts w:ascii="Times New Roman" w:hAnsi="Times New Roman"/>
          <w:b/>
          <w:sz w:val="22"/>
          <w:szCs w:val="22"/>
        </w:rPr>
        <w:tab/>
      </w:r>
      <w:r w:rsidRPr="00EC659C">
        <w:rPr>
          <w:rFonts w:ascii="Times New Roman" w:hAnsi="Times New Roman"/>
          <w:sz w:val="22"/>
          <w:szCs w:val="22"/>
        </w:rPr>
        <w:t>The stipulated date for the commencement of the tasks is the date of the signature of the contract and the implement</w:t>
      </w:r>
      <w:r>
        <w:rPr>
          <w:rFonts w:ascii="Times New Roman" w:hAnsi="Times New Roman"/>
          <w:sz w:val="22"/>
          <w:szCs w:val="22"/>
        </w:rPr>
        <w:t>ation period of the tasks is 120</w:t>
      </w:r>
      <w:r w:rsidRPr="00EC659C">
        <w:rPr>
          <w:rFonts w:ascii="Times New Roman" w:hAnsi="Times New Roman"/>
          <w:sz w:val="22"/>
          <w:szCs w:val="22"/>
        </w:rPr>
        <w:t xml:space="preserve"> days following the date of the contract signature.</w:t>
      </w:r>
      <w:r w:rsidRPr="00EC659C">
        <w:rPr>
          <w:rFonts w:ascii="Times New Roman" w:hAnsi="Times New Roman"/>
          <w:b/>
          <w:sz w:val="22"/>
          <w:szCs w:val="22"/>
        </w:rPr>
        <w:t xml:space="preserve"> </w:t>
      </w:r>
    </w:p>
    <w:p w14:paraId="355FC6BD" w14:textId="77777777" w:rsidR="00D5763B" w:rsidRPr="00EC659C" w:rsidRDefault="00D5763B" w:rsidP="00D5763B">
      <w:pPr>
        <w:spacing w:before="240"/>
        <w:ind w:left="1134" w:hanging="1134"/>
        <w:jc w:val="both"/>
        <w:rPr>
          <w:rFonts w:ascii="Times New Roman" w:hAnsi="Times New Roman"/>
          <w:b/>
          <w:sz w:val="24"/>
          <w:szCs w:val="24"/>
        </w:rPr>
      </w:pPr>
      <w:bookmarkStart w:id="7" w:name="_Toc124934902"/>
      <w:bookmarkEnd w:id="6"/>
      <w:r>
        <w:rPr>
          <w:rFonts w:ascii="Times New Roman" w:hAnsi="Times New Roman"/>
          <w:b/>
          <w:sz w:val="24"/>
          <w:szCs w:val="24"/>
        </w:rPr>
        <w:t>Article 10</w:t>
      </w:r>
      <w:r w:rsidRPr="00EC659C">
        <w:rPr>
          <w:rFonts w:ascii="Times New Roman" w:hAnsi="Times New Roman"/>
          <w:b/>
          <w:sz w:val="24"/>
          <w:szCs w:val="24"/>
        </w:rPr>
        <w:tab/>
        <w:t>General principles for payments</w:t>
      </w:r>
    </w:p>
    <w:p w14:paraId="36580585" w14:textId="77777777" w:rsidR="00D5763B" w:rsidRPr="00EC659C" w:rsidRDefault="00D5763B" w:rsidP="00D5763B">
      <w:pPr>
        <w:tabs>
          <w:tab w:val="right" w:pos="9885"/>
        </w:tabs>
        <w:ind w:left="1134" w:hanging="709"/>
        <w:jc w:val="both"/>
        <w:rPr>
          <w:rFonts w:ascii="Times New Roman" w:hAnsi="Times New Roman"/>
          <w:sz w:val="22"/>
          <w:szCs w:val="22"/>
        </w:rPr>
      </w:pPr>
      <w:r>
        <w:rPr>
          <w:rFonts w:ascii="Times New Roman" w:hAnsi="Times New Roman"/>
          <w:sz w:val="22"/>
          <w:szCs w:val="22"/>
        </w:rPr>
        <w:t>10</w:t>
      </w:r>
      <w:r w:rsidRPr="00EC659C">
        <w:rPr>
          <w:rFonts w:ascii="Times New Roman" w:hAnsi="Times New Roman"/>
          <w:sz w:val="22"/>
          <w:szCs w:val="22"/>
        </w:rPr>
        <w:t>.1</w:t>
      </w:r>
      <w:r w:rsidRPr="00EC659C">
        <w:rPr>
          <w:rFonts w:ascii="Times New Roman" w:hAnsi="Times New Roman"/>
          <w:sz w:val="22"/>
          <w:szCs w:val="22"/>
        </w:rPr>
        <w:tab/>
        <w:t xml:space="preserve">Payments shall be made in Albanian national currency ALL </w:t>
      </w:r>
    </w:p>
    <w:p w14:paraId="69D89661" w14:textId="77777777" w:rsidR="00D5763B" w:rsidRPr="003D6B6C" w:rsidRDefault="00D5763B" w:rsidP="00D5763B">
      <w:pPr>
        <w:tabs>
          <w:tab w:val="right" w:pos="9885"/>
        </w:tabs>
        <w:ind w:left="1134"/>
        <w:jc w:val="both"/>
        <w:rPr>
          <w:rFonts w:ascii="Times New Roman" w:hAnsi="Times New Roman"/>
          <w:sz w:val="22"/>
          <w:szCs w:val="22"/>
        </w:rPr>
      </w:pPr>
      <w:r w:rsidRPr="00EC659C">
        <w:rPr>
          <w:rFonts w:ascii="Times New Roman" w:hAnsi="Times New Roman"/>
          <w:sz w:val="22"/>
          <w:szCs w:val="22"/>
        </w:rPr>
        <w:t>Pre-financing is not applicable to this contract.</w:t>
      </w:r>
    </w:p>
    <w:p w14:paraId="350E09FD" w14:textId="77777777" w:rsidR="00D5763B" w:rsidRDefault="00D5763B" w:rsidP="00D5763B">
      <w:pPr>
        <w:ind w:left="1134"/>
        <w:jc w:val="both"/>
        <w:rPr>
          <w:rFonts w:ascii="Times New Roman" w:hAnsi="Times New Roman"/>
          <w:sz w:val="22"/>
          <w:szCs w:val="22"/>
        </w:rPr>
      </w:pPr>
      <w:r w:rsidRPr="00EC659C">
        <w:rPr>
          <w:rFonts w:ascii="Times New Roman" w:hAnsi="Times New Roman"/>
          <w:sz w:val="22"/>
          <w:szCs w:val="22"/>
        </w:rPr>
        <w:t>Payments shall be authorised by the Secretary General and made by the General Directorate of Finance in the Ministry of Defence</w:t>
      </w:r>
      <w:r>
        <w:rPr>
          <w:rFonts w:ascii="Times New Roman" w:hAnsi="Times New Roman"/>
          <w:sz w:val="22"/>
          <w:szCs w:val="22"/>
        </w:rPr>
        <w:t>.</w:t>
      </w:r>
    </w:p>
    <w:p w14:paraId="76A20753" w14:textId="77777777" w:rsidR="00D5763B" w:rsidRDefault="00D5763B" w:rsidP="00D5763B">
      <w:pPr>
        <w:spacing w:before="0" w:after="0"/>
        <w:ind w:left="432"/>
        <w:jc w:val="both"/>
        <w:rPr>
          <w:rFonts w:ascii="Times New Roman" w:hAnsi="Times New Roman"/>
          <w:sz w:val="22"/>
          <w:szCs w:val="22"/>
        </w:rPr>
      </w:pPr>
      <w:r>
        <w:rPr>
          <w:rFonts w:ascii="Times New Roman" w:hAnsi="Times New Roman"/>
          <w:sz w:val="22"/>
          <w:szCs w:val="22"/>
        </w:rPr>
        <w:lastRenderedPageBreak/>
        <w:t xml:space="preserve">10.2     The final payment to the contractor of the amounts due shall be made within the            </w:t>
      </w:r>
    </w:p>
    <w:p w14:paraId="40FFE1E1" w14:textId="77777777" w:rsidR="00D5763B" w:rsidRDefault="00D5763B" w:rsidP="00D5763B">
      <w:pPr>
        <w:spacing w:before="0" w:after="0"/>
        <w:ind w:left="432"/>
        <w:jc w:val="both"/>
        <w:rPr>
          <w:rFonts w:ascii="Times New Roman" w:hAnsi="Times New Roman"/>
          <w:sz w:val="22"/>
          <w:szCs w:val="22"/>
        </w:rPr>
      </w:pPr>
      <w:r>
        <w:rPr>
          <w:rFonts w:ascii="Times New Roman" w:hAnsi="Times New Roman"/>
          <w:sz w:val="22"/>
          <w:szCs w:val="22"/>
        </w:rPr>
        <w:t xml:space="preserve">             60 days after </w:t>
      </w:r>
      <w:r w:rsidRPr="000A0BEB">
        <w:rPr>
          <w:rFonts w:ascii="Times New Roman" w:hAnsi="Times New Roman"/>
          <w:sz w:val="22"/>
          <w:szCs w:val="22"/>
        </w:rPr>
        <w:t xml:space="preserve">receipt by the contracting authority of an invoice and of the </w:t>
      </w:r>
    </w:p>
    <w:p w14:paraId="33894FC7" w14:textId="77777777" w:rsidR="00D5763B" w:rsidRPr="003D6B6C" w:rsidRDefault="00D5763B" w:rsidP="00D5763B">
      <w:pPr>
        <w:spacing w:before="0" w:after="0"/>
        <w:ind w:left="432"/>
        <w:jc w:val="both"/>
        <w:rPr>
          <w:rFonts w:ascii="Times New Roman" w:hAnsi="Times New Roman"/>
          <w:sz w:val="22"/>
          <w:szCs w:val="22"/>
        </w:rPr>
      </w:pPr>
      <w:r>
        <w:rPr>
          <w:rFonts w:ascii="Times New Roman" w:hAnsi="Times New Roman"/>
          <w:sz w:val="22"/>
          <w:szCs w:val="22"/>
        </w:rPr>
        <w:t xml:space="preserve">             </w:t>
      </w:r>
      <w:r w:rsidRPr="000A0BEB">
        <w:rPr>
          <w:rFonts w:ascii="Times New Roman" w:hAnsi="Times New Roman"/>
          <w:sz w:val="22"/>
          <w:szCs w:val="22"/>
        </w:rPr>
        <w:t>application for the certificate of provisional acceptance</w:t>
      </w:r>
    </w:p>
    <w:p w14:paraId="35C6535F" w14:textId="77777777" w:rsidR="00D5763B" w:rsidRPr="003D6B6C" w:rsidRDefault="00D5763B" w:rsidP="00D5763B">
      <w:pPr>
        <w:spacing w:before="240"/>
        <w:ind w:left="1134" w:hanging="1134"/>
        <w:jc w:val="both"/>
        <w:rPr>
          <w:rFonts w:ascii="Times New Roman" w:hAnsi="Times New Roman"/>
          <w:b/>
          <w:sz w:val="24"/>
          <w:szCs w:val="24"/>
        </w:rPr>
      </w:pPr>
      <w:r>
        <w:rPr>
          <w:rFonts w:ascii="Times New Roman" w:hAnsi="Times New Roman"/>
          <w:b/>
          <w:sz w:val="24"/>
          <w:szCs w:val="24"/>
        </w:rPr>
        <w:t>Article 11</w:t>
      </w:r>
      <w:r w:rsidRPr="003D6B6C">
        <w:rPr>
          <w:rFonts w:ascii="Times New Roman" w:hAnsi="Times New Roman"/>
          <w:b/>
          <w:sz w:val="24"/>
          <w:szCs w:val="24"/>
        </w:rPr>
        <w:tab/>
        <w:t>Delayed payments</w:t>
      </w:r>
    </w:p>
    <w:p w14:paraId="14792155" w14:textId="77777777" w:rsidR="00D5763B" w:rsidRPr="003D6B6C" w:rsidRDefault="00D5763B" w:rsidP="00D5763B">
      <w:pPr>
        <w:autoSpaceDE w:val="0"/>
        <w:autoSpaceDN w:val="0"/>
        <w:adjustRightInd w:val="0"/>
        <w:ind w:left="1134" w:hanging="709"/>
        <w:jc w:val="both"/>
        <w:rPr>
          <w:rFonts w:ascii="Times New Roman" w:hAnsi="Times New Roman"/>
          <w:snapToGrid/>
          <w:sz w:val="22"/>
          <w:szCs w:val="22"/>
          <w:lang w:eastAsia="en-GB"/>
        </w:rPr>
      </w:pPr>
      <w:r>
        <w:rPr>
          <w:rFonts w:ascii="Times New Roman" w:hAnsi="Times New Roman"/>
          <w:sz w:val="22"/>
          <w:szCs w:val="22"/>
        </w:rPr>
        <w:t>11</w:t>
      </w:r>
      <w:r w:rsidRPr="003D6B6C">
        <w:rPr>
          <w:rFonts w:ascii="Times New Roman" w:hAnsi="Times New Roman"/>
          <w:sz w:val="22"/>
          <w:szCs w:val="22"/>
        </w:rPr>
        <w:t>.</w:t>
      </w:r>
      <w:r>
        <w:rPr>
          <w:rFonts w:ascii="Times New Roman" w:hAnsi="Times New Roman"/>
          <w:sz w:val="22"/>
          <w:szCs w:val="22"/>
        </w:rPr>
        <w:t>1</w:t>
      </w:r>
      <w:r w:rsidRPr="003D6B6C">
        <w:rPr>
          <w:rFonts w:ascii="Times New Roman" w:hAnsi="Times New Roman"/>
          <w:b/>
          <w:sz w:val="22"/>
          <w:szCs w:val="22"/>
        </w:rPr>
        <w:tab/>
      </w:r>
      <w:r w:rsidRPr="004F1EDB">
        <w:rPr>
          <w:rFonts w:ascii="Times New Roman" w:hAnsi="Times New Roman"/>
          <w:snapToGrid/>
          <w:sz w:val="22"/>
          <w:szCs w:val="22"/>
          <w:lang w:eastAsia="en-GB"/>
        </w:rPr>
        <w:t>By derogation from Article 28.2 of the general conditions, o</w:t>
      </w:r>
      <w:r w:rsidRPr="004F1EDB">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bookmarkEnd w:id="7"/>
    <w:p w14:paraId="5D11F642" w14:textId="77777777" w:rsidR="00D5763B" w:rsidRPr="003D6B6C" w:rsidRDefault="00D5763B" w:rsidP="00D5763B">
      <w:pPr>
        <w:spacing w:before="240"/>
        <w:ind w:left="1134" w:hanging="1134"/>
        <w:jc w:val="both"/>
        <w:rPr>
          <w:rFonts w:ascii="Times New Roman" w:hAnsi="Times New Roman"/>
          <w:b/>
          <w:sz w:val="24"/>
          <w:szCs w:val="24"/>
        </w:rPr>
      </w:pPr>
      <w:r>
        <w:rPr>
          <w:rFonts w:ascii="Times New Roman" w:hAnsi="Times New Roman"/>
          <w:b/>
          <w:sz w:val="24"/>
          <w:szCs w:val="24"/>
        </w:rPr>
        <w:t>Article 12</w:t>
      </w:r>
      <w:r w:rsidRPr="003D6B6C">
        <w:rPr>
          <w:rFonts w:ascii="Times New Roman" w:hAnsi="Times New Roman"/>
          <w:b/>
          <w:sz w:val="24"/>
          <w:szCs w:val="24"/>
        </w:rPr>
        <w:tab/>
        <w:t>Delivery</w:t>
      </w:r>
    </w:p>
    <w:p w14:paraId="152126C2" w14:textId="77777777" w:rsidR="00D5763B" w:rsidRPr="00264934" w:rsidRDefault="00D5763B" w:rsidP="00D5763B">
      <w:pPr>
        <w:ind w:left="1134" w:hanging="709"/>
        <w:jc w:val="both"/>
        <w:rPr>
          <w:rFonts w:ascii="Times New Roman" w:hAnsi="Times New Roman"/>
          <w:b/>
          <w:sz w:val="22"/>
          <w:szCs w:val="22"/>
        </w:rPr>
      </w:pPr>
      <w:r>
        <w:rPr>
          <w:rFonts w:ascii="Times New Roman" w:hAnsi="Times New Roman"/>
          <w:sz w:val="22"/>
          <w:szCs w:val="22"/>
        </w:rPr>
        <w:t>12</w:t>
      </w:r>
      <w:r w:rsidRPr="003D6B6C">
        <w:rPr>
          <w:rFonts w:ascii="Times New Roman" w:hAnsi="Times New Roman"/>
          <w:sz w:val="22"/>
          <w:szCs w:val="22"/>
        </w:rPr>
        <w:t>.</w:t>
      </w:r>
      <w:r>
        <w:rPr>
          <w:rFonts w:ascii="Times New Roman" w:hAnsi="Times New Roman"/>
          <w:sz w:val="22"/>
          <w:szCs w:val="22"/>
        </w:rPr>
        <w:t>1</w:t>
      </w:r>
      <w:r w:rsidRPr="003D6B6C">
        <w:rPr>
          <w:rFonts w:ascii="Times New Roman" w:hAnsi="Times New Roman"/>
          <w:b/>
          <w:sz w:val="22"/>
          <w:szCs w:val="22"/>
        </w:rPr>
        <w:tab/>
      </w:r>
      <w:r w:rsidRPr="00264934">
        <w:rPr>
          <w:rFonts w:ascii="Times New Roman" w:hAnsi="Times New Roman"/>
          <w:sz w:val="22"/>
          <w:szCs w:val="22"/>
        </w:rPr>
        <w:t>The packaging shall become the property of the recipient subject to environmental considerations.</w:t>
      </w:r>
      <w:r>
        <w:rPr>
          <w:rFonts w:ascii="Times New Roman" w:hAnsi="Times New Roman"/>
          <w:sz w:val="22"/>
          <w:szCs w:val="22"/>
        </w:rPr>
        <w:t xml:space="preserve"> </w:t>
      </w:r>
    </w:p>
    <w:p w14:paraId="33D89FB8" w14:textId="77777777" w:rsidR="00D5763B" w:rsidRPr="001D1703" w:rsidRDefault="00D5763B" w:rsidP="00D5763B">
      <w:pPr>
        <w:spacing w:before="240"/>
        <w:ind w:left="1134" w:hanging="1134"/>
        <w:jc w:val="both"/>
        <w:rPr>
          <w:rFonts w:ascii="Times New Roman" w:hAnsi="Times New Roman"/>
          <w:b/>
          <w:sz w:val="24"/>
          <w:szCs w:val="24"/>
        </w:rPr>
      </w:pPr>
      <w:bookmarkStart w:id="8" w:name="_Toc124934914"/>
      <w:r>
        <w:rPr>
          <w:rFonts w:ascii="Times New Roman" w:hAnsi="Times New Roman"/>
          <w:b/>
          <w:sz w:val="24"/>
          <w:szCs w:val="24"/>
        </w:rPr>
        <w:t>Article 13</w:t>
      </w:r>
      <w:r w:rsidRPr="003D6B6C">
        <w:rPr>
          <w:rFonts w:ascii="Times New Roman" w:hAnsi="Times New Roman"/>
          <w:b/>
          <w:sz w:val="24"/>
          <w:szCs w:val="24"/>
        </w:rPr>
        <w:tab/>
        <w:t>Provisional acceptance</w:t>
      </w:r>
      <w:bookmarkEnd w:id="8"/>
    </w:p>
    <w:p w14:paraId="18741503" w14:textId="77777777" w:rsidR="00D5763B" w:rsidRDefault="00D5763B" w:rsidP="00D5763B">
      <w:pPr>
        <w:spacing w:before="0" w:after="0"/>
        <w:jc w:val="both"/>
        <w:rPr>
          <w:rFonts w:ascii="Times New Roman" w:hAnsi="Times New Roman"/>
          <w:sz w:val="22"/>
          <w:szCs w:val="22"/>
        </w:rPr>
      </w:pPr>
      <w:r>
        <w:rPr>
          <w:rFonts w:ascii="Times New Roman" w:hAnsi="Times New Roman"/>
          <w:sz w:val="22"/>
          <w:szCs w:val="22"/>
        </w:rPr>
        <w:t xml:space="preserve">         13.1           </w:t>
      </w:r>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 xml:space="preserve">cceptance must be issued using the template in </w:t>
      </w:r>
    </w:p>
    <w:p w14:paraId="3856CC49" w14:textId="77777777" w:rsidR="00D5763B" w:rsidRPr="003D6B6C" w:rsidRDefault="00D5763B" w:rsidP="00D5763B">
      <w:pPr>
        <w:spacing w:before="0" w:after="0"/>
        <w:jc w:val="both"/>
        <w:rPr>
          <w:rFonts w:ascii="Times New Roman" w:hAnsi="Times New Roman"/>
          <w:sz w:val="22"/>
          <w:szCs w:val="22"/>
        </w:rPr>
      </w:pPr>
      <w:r>
        <w:rPr>
          <w:rFonts w:ascii="Times New Roman" w:hAnsi="Times New Roman"/>
          <w:sz w:val="22"/>
          <w:szCs w:val="22"/>
        </w:rPr>
        <w:t xml:space="preserve">                           </w:t>
      </w:r>
      <w:r w:rsidRPr="003D6B6C">
        <w:rPr>
          <w:rFonts w:ascii="Times New Roman" w:hAnsi="Times New Roman"/>
          <w:sz w:val="22"/>
          <w:szCs w:val="22"/>
        </w:rPr>
        <w:t>Annex C11.</w:t>
      </w:r>
    </w:p>
    <w:p w14:paraId="74E7EF32" w14:textId="77777777" w:rsidR="00D5763B" w:rsidRPr="00EC659C" w:rsidRDefault="00D5763B" w:rsidP="00D5763B">
      <w:pPr>
        <w:spacing w:before="240"/>
        <w:ind w:left="1134" w:hanging="1134"/>
        <w:jc w:val="both"/>
        <w:rPr>
          <w:rFonts w:ascii="Times New Roman" w:hAnsi="Times New Roman"/>
          <w:b/>
          <w:sz w:val="24"/>
          <w:szCs w:val="24"/>
        </w:rPr>
      </w:pPr>
      <w:bookmarkStart w:id="9" w:name="_Toc124934915"/>
      <w:r>
        <w:rPr>
          <w:rFonts w:ascii="Times New Roman" w:hAnsi="Times New Roman"/>
          <w:b/>
          <w:sz w:val="24"/>
          <w:szCs w:val="24"/>
        </w:rPr>
        <w:t>Article 14</w:t>
      </w:r>
      <w:r w:rsidRPr="003D6B6C">
        <w:rPr>
          <w:rFonts w:ascii="Times New Roman" w:hAnsi="Times New Roman"/>
          <w:b/>
          <w:sz w:val="24"/>
          <w:szCs w:val="24"/>
        </w:rPr>
        <w:tab/>
        <w:t>Warranty</w:t>
      </w:r>
      <w:bookmarkEnd w:id="9"/>
      <w:r w:rsidRPr="003D6B6C">
        <w:rPr>
          <w:rFonts w:ascii="Times New Roman" w:hAnsi="Times New Roman"/>
          <w:b/>
          <w:sz w:val="24"/>
          <w:szCs w:val="24"/>
        </w:rPr>
        <w:t xml:space="preserve"> obligations</w:t>
      </w:r>
    </w:p>
    <w:p w14:paraId="00D059D6" w14:textId="77777777" w:rsidR="00D5763B" w:rsidRPr="003D6B6C" w:rsidRDefault="00D5763B" w:rsidP="00D5763B">
      <w:pPr>
        <w:ind w:left="1134" w:hanging="708"/>
        <w:jc w:val="both"/>
        <w:rPr>
          <w:rFonts w:ascii="Times New Roman" w:hAnsi="Times New Roman"/>
          <w:sz w:val="22"/>
          <w:szCs w:val="22"/>
        </w:rPr>
      </w:pPr>
      <w:r>
        <w:rPr>
          <w:rFonts w:ascii="Times New Roman" w:hAnsi="Times New Roman"/>
          <w:sz w:val="22"/>
          <w:szCs w:val="22"/>
        </w:rPr>
        <w:t>14.1</w:t>
      </w:r>
      <w:r w:rsidRPr="003D6B6C">
        <w:rPr>
          <w:rFonts w:ascii="Times New Roman" w:hAnsi="Times New Roman"/>
          <w:sz w:val="22"/>
          <w:szCs w:val="22"/>
        </w:rPr>
        <w:tab/>
        <w:t xml:space="preserve">The warranty must remain valid </w:t>
      </w:r>
      <w:r w:rsidRPr="00EC659C">
        <w:rPr>
          <w:rFonts w:ascii="Times New Roman" w:hAnsi="Times New Roman"/>
          <w:sz w:val="22"/>
          <w:szCs w:val="22"/>
        </w:rPr>
        <w:t xml:space="preserve">for 1 year </w:t>
      </w:r>
      <w:r w:rsidRPr="003D6B6C">
        <w:rPr>
          <w:rFonts w:ascii="Times New Roman" w:hAnsi="Times New Roman"/>
          <w:sz w:val="22"/>
          <w:szCs w:val="22"/>
        </w:rPr>
        <w:t>after provisional acceptance.</w:t>
      </w:r>
    </w:p>
    <w:p w14:paraId="54132635" w14:textId="77777777" w:rsidR="00D5763B" w:rsidRPr="003D6B6C" w:rsidRDefault="00D5763B" w:rsidP="00D5763B">
      <w:pPr>
        <w:spacing w:before="240"/>
        <w:ind w:left="1134" w:hanging="1134"/>
        <w:jc w:val="both"/>
        <w:rPr>
          <w:rFonts w:ascii="Times New Roman" w:hAnsi="Times New Roman"/>
          <w:b/>
          <w:sz w:val="24"/>
          <w:szCs w:val="24"/>
        </w:rPr>
      </w:pPr>
      <w:bookmarkStart w:id="10" w:name="_Toc124934917"/>
      <w:r>
        <w:rPr>
          <w:rFonts w:ascii="Times New Roman" w:hAnsi="Times New Roman"/>
          <w:b/>
          <w:sz w:val="24"/>
          <w:szCs w:val="24"/>
        </w:rPr>
        <w:t>Article 15</w:t>
      </w:r>
      <w:r w:rsidRPr="003D6B6C">
        <w:rPr>
          <w:rFonts w:ascii="Times New Roman" w:hAnsi="Times New Roman"/>
          <w:b/>
          <w:sz w:val="24"/>
          <w:szCs w:val="24"/>
        </w:rPr>
        <w:tab/>
        <w:t>Settlement of disputes</w:t>
      </w:r>
      <w:bookmarkEnd w:id="10"/>
    </w:p>
    <w:p w14:paraId="7DAD9352" w14:textId="77777777" w:rsidR="00D5763B" w:rsidRPr="003D6B6C" w:rsidRDefault="00D5763B" w:rsidP="00D5763B">
      <w:pPr>
        <w:ind w:left="1134" w:hanging="708"/>
        <w:jc w:val="both"/>
        <w:rPr>
          <w:rFonts w:ascii="Times New Roman" w:hAnsi="Times New Roman"/>
          <w:sz w:val="22"/>
          <w:szCs w:val="22"/>
        </w:rPr>
      </w:pPr>
      <w:r>
        <w:rPr>
          <w:rFonts w:ascii="Times New Roman" w:hAnsi="Times New Roman"/>
          <w:sz w:val="22"/>
          <w:szCs w:val="22"/>
        </w:rPr>
        <w:t>15</w:t>
      </w:r>
      <w:r w:rsidRPr="003D6B6C">
        <w:rPr>
          <w:rFonts w:ascii="Times New Roman" w:hAnsi="Times New Roman"/>
          <w:sz w:val="22"/>
          <w:szCs w:val="22"/>
        </w:rPr>
        <w:t>.</w:t>
      </w:r>
      <w:r>
        <w:rPr>
          <w:rFonts w:ascii="Times New Roman" w:hAnsi="Times New Roman"/>
          <w:sz w:val="22"/>
          <w:szCs w:val="22"/>
        </w:rPr>
        <w:t>1</w:t>
      </w:r>
      <w:r w:rsidRPr="003D6B6C">
        <w:rPr>
          <w:rFonts w:ascii="Times New Roman" w:hAnsi="Times New Roman"/>
          <w:sz w:val="22"/>
          <w:szCs w:val="22"/>
        </w:rPr>
        <w:tab/>
      </w:r>
      <w:r w:rsidRPr="00131104">
        <w:rPr>
          <w:rFonts w:ascii="Times New Roman" w:hAnsi="Times New Roman"/>
          <w:sz w:val="22"/>
          <w:szCs w:val="22"/>
        </w:rPr>
        <w:t xml:space="preserve">Any disputes arising out of or relating to this contract which cannot be settled otherwise shall be referred to the exclusive jurisdiction of </w:t>
      </w:r>
      <w:r w:rsidRPr="00EC659C">
        <w:rPr>
          <w:rFonts w:ascii="Times New Roman" w:hAnsi="Times New Roman"/>
          <w:sz w:val="22"/>
          <w:szCs w:val="22"/>
        </w:rPr>
        <w:t xml:space="preserve">Tirana district court </w:t>
      </w:r>
      <w:r w:rsidRPr="00131104">
        <w:rPr>
          <w:rFonts w:ascii="Times New Roman" w:hAnsi="Times New Roman"/>
          <w:sz w:val="22"/>
          <w:szCs w:val="22"/>
        </w:rPr>
        <w:t>in accordance with the national legislation of the state of the contracting authority.</w:t>
      </w:r>
    </w:p>
    <w:p w14:paraId="06F9B4D1" w14:textId="77777777" w:rsidR="00D5763B" w:rsidRPr="00131104" w:rsidRDefault="00D5763B" w:rsidP="00D5763B">
      <w:pPr>
        <w:keepNext/>
        <w:keepLines/>
        <w:tabs>
          <w:tab w:val="left" w:pos="1134"/>
        </w:tabs>
        <w:spacing w:before="240"/>
        <w:ind w:left="1134" w:hanging="1134"/>
        <w:rPr>
          <w:rFonts w:ascii="Times New Roman" w:hAnsi="Times New Roman"/>
          <w:b/>
          <w:sz w:val="24"/>
          <w:szCs w:val="24"/>
        </w:rPr>
      </w:pPr>
      <w:r>
        <w:rPr>
          <w:rFonts w:ascii="Times New Roman" w:hAnsi="Times New Roman"/>
          <w:b/>
          <w:sz w:val="24"/>
          <w:szCs w:val="24"/>
        </w:rPr>
        <w:t>Article 16</w:t>
      </w:r>
      <w:r w:rsidRPr="00131104">
        <w:rPr>
          <w:rFonts w:ascii="Times New Roman" w:hAnsi="Times New Roman"/>
          <w:b/>
          <w:sz w:val="24"/>
          <w:szCs w:val="24"/>
        </w:rPr>
        <w:tab/>
        <w:t>Data protection</w:t>
      </w:r>
    </w:p>
    <w:p w14:paraId="349A6B80" w14:textId="77777777" w:rsidR="00D5763B" w:rsidRPr="00131104" w:rsidRDefault="00D5763B" w:rsidP="00D5763B">
      <w:pPr>
        <w:jc w:val="both"/>
        <w:rPr>
          <w:rFonts w:ascii="Times New Roman" w:hAnsi="Times New Roman"/>
          <w:sz w:val="22"/>
          <w:szCs w:val="22"/>
        </w:rPr>
      </w:pPr>
      <w:r w:rsidRPr="00131104">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31AE279" w14:textId="77777777" w:rsidR="00D5763B" w:rsidRPr="00F4288C" w:rsidRDefault="00D5763B" w:rsidP="00D5763B">
      <w:pPr>
        <w:jc w:val="both"/>
        <w:rPr>
          <w:rFonts w:ascii="Times New Roman" w:hAnsi="Times New Roman"/>
          <w:sz w:val="22"/>
          <w:szCs w:val="22"/>
          <w:u w:val="single"/>
        </w:rPr>
      </w:pPr>
      <w:r w:rsidRPr="00131104">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personnel,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w:t>
      </w:r>
      <w:r w:rsidRPr="00131104">
        <w:rPr>
          <w:rFonts w:ascii="Times New Roman" w:hAnsi="Times New Roman"/>
          <w:sz w:val="22"/>
          <w:szCs w:val="22"/>
        </w:rPr>
        <w:lastRenderedPageBreak/>
        <w:t>free movement of such data, and repealing Regulation (EC) No 45/2001 and Decision No 1247/2002/EC</w:t>
      </w:r>
      <w:r w:rsidRPr="00131104">
        <w:rPr>
          <w:rStyle w:val="FootnoteReference"/>
          <w:rFonts w:ascii="Times New Roman" w:hAnsi="Times New Roman"/>
          <w:sz w:val="22"/>
          <w:szCs w:val="22"/>
        </w:rPr>
        <w:footnoteReference w:id="2"/>
      </w:r>
      <w:r w:rsidRPr="00131104">
        <w:rPr>
          <w:rFonts w:ascii="Times New Roman" w:hAnsi="Times New Roman"/>
          <w:sz w:val="22"/>
          <w:szCs w:val="22"/>
        </w:rPr>
        <w:t xml:space="preserve"> and as detailed in the specific privacy statement published at ePRAG.</w:t>
      </w:r>
    </w:p>
    <w:p w14:paraId="596EEEAF" w14:textId="77777777" w:rsidR="00D5763B" w:rsidRPr="003D6B6C" w:rsidRDefault="00D5763B" w:rsidP="00D5763B">
      <w:pPr>
        <w:pStyle w:val="ListNumber"/>
        <w:numPr>
          <w:ilvl w:val="0"/>
          <w:numId w:val="0"/>
        </w:numPr>
        <w:spacing w:before="360" w:after="100" w:afterAutospacing="1"/>
        <w:ind w:left="1984" w:hanging="425"/>
        <w:jc w:val="center"/>
        <w:rPr>
          <w:sz w:val="22"/>
          <w:szCs w:val="22"/>
        </w:rPr>
      </w:pPr>
      <w:r w:rsidRPr="003D6B6C">
        <w:rPr>
          <w:sz w:val="22"/>
          <w:szCs w:val="22"/>
        </w:rPr>
        <w:t>* * *</w:t>
      </w:r>
    </w:p>
    <w:p w14:paraId="016C5FE5" w14:textId="4A3E8F72" w:rsidR="001B55AC" w:rsidRPr="003D6B6C" w:rsidRDefault="001B55AC" w:rsidP="00D5763B">
      <w:pPr>
        <w:spacing w:before="240"/>
        <w:ind w:left="1134" w:hanging="1134"/>
        <w:jc w:val="both"/>
        <w:rPr>
          <w:sz w:val="22"/>
          <w:szCs w:val="22"/>
        </w:rPr>
      </w:pPr>
    </w:p>
    <w:sectPr w:rsidR="001B55AC" w:rsidRPr="003D6B6C" w:rsidSect="003D6B6C">
      <w:headerReference w:type="even" r:id="rId13"/>
      <w:headerReference w:type="default" r:id="rId14"/>
      <w:footerReference w:type="even" r:id="rId15"/>
      <w:footerReference w:type="default" r:id="rId16"/>
      <w:headerReference w:type="first" r:id="rId17"/>
      <w:footerReference w:type="first" r:id="rId18"/>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0D6109" w14:textId="77777777" w:rsidR="00F63E20" w:rsidRPr="006A5F84" w:rsidRDefault="00F63E20">
      <w:r w:rsidRPr="006A5F84">
        <w:separator/>
      </w:r>
    </w:p>
  </w:endnote>
  <w:endnote w:type="continuationSeparator" w:id="0">
    <w:p w14:paraId="18AE301D" w14:textId="77777777" w:rsidR="00F63E20" w:rsidRPr="006A5F84" w:rsidRDefault="00F63E2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D2995" w14:textId="03213BE3" w:rsidR="007E36E3" w:rsidRPr="00FE689C" w:rsidRDefault="004626B5"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4626B5">
      <w:rPr>
        <w:rFonts w:ascii="Times New Roman" w:hAnsi="Times New Roman"/>
        <w:b/>
        <w:sz w:val="18"/>
        <w:lang w:val="en-GB"/>
      </w:rPr>
      <w:t xml:space="preserve">December </w:t>
    </w:r>
    <w:r w:rsidR="00CA1E77">
      <w:rPr>
        <w:rFonts w:ascii="Times New Roman" w:hAnsi="Times New Roman"/>
        <w:b/>
        <w:sz w:val="18"/>
        <w:lang w:val="en-GB"/>
      </w:rPr>
      <w:t>2021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673575">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673575">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2D6667" w14:textId="77777777" w:rsidR="00F63E20" w:rsidRPr="006A5F84" w:rsidRDefault="00F63E20">
      <w:r w:rsidRPr="006A5F84">
        <w:separator/>
      </w:r>
    </w:p>
  </w:footnote>
  <w:footnote w:type="continuationSeparator" w:id="0">
    <w:p w14:paraId="1BAB38BE" w14:textId="77777777" w:rsidR="00F63E20" w:rsidRPr="006A5F84" w:rsidRDefault="00F63E20">
      <w:r w:rsidRPr="006A5F84">
        <w:continuationSeparator/>
      </w:r>
    </w:p>
  </w:footnote>
  <w:footnote w:id="1">
    <w:p w14:paraId="3FCD04D8" w14:textId="77777777" w:rsidR="00287C37" w:rsidRPr="00C73F87" w:rsidRDefault="00287C37" w:rsidP="00287C37">
      <w:pPr>
        <w:pStyle w:val="FootnoteText"/>
        <w:rPr>
          <w:lang w:val="en-GB"/>
        </w:rPr>
      </w:pPr>
    </w:p>
  </w:footnote>
  <w:footnote w:id="2">
    <w:p w14:paraId="0FC7884B" w14:textId="77777777" w:rsidR="00D5763B" w:rsidRDefault="00D5763B" w:rsidP="00D5763B">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104"/>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87C37"/>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8D7"/>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5E02"/>
    <w:rsid w:val="004C77A2"/>
    <w:rsid w:val="004D2FD8"/>
    <w:rsid w:val="004D33C9"/>
    <w:rsid w:val="004E43B2"/>
    <w:rsid w:val="004E6C5D"/>
    <w:rsid w:val="004F1EDB"/>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3575"/>
    <w:rsid w:val="00677500"/>
    <w:rsid w:val="0068247E"/>
    <w:rsid w:val="00684801"/>
    <w:rsid w:val="006858D9"/>
    <w:rsid w:val="00686ACD"/>
    <w:rsid w:val="00686E07"/>
    <w:rsid w:val="006917B2"/>
    <w:rsid w:val="00692095"/>
    <w:rsid w:val="00695007"/>
    <w:rsid w:val="006A5F84"/>
    <w:rsid w:val="006B0AB1"/>
    <w:rsid w:val="006B145B"/>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92"/>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679FA"/>
    <w:rsid w:val="00971AD2"/>
    <w:rsid w:val="0097513D"/>
    <w:rsid w:val="00980A42"/>
    <w:rsid w:val="00983FDE"/>
    <w:rsid w:val="00986B1E"/>
    <w:rsid w:val="00987F62"/>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5B36"/>
    <w:rsid w:val="00A76A6E"/>
    <w:rsid w:val="00A845B1"/>
    <w:rsid w:val="00A87DB5"/>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7DE2"/>
    <w:rsid w:val="00CD68C0"/>
    <w:rsid w:val="00CD6FC9"/>
    <w:rsid w:val="00CD7F25"/>
    <w:rsid w:val="00CF2DE2"/>
    <w:rsid w:val="00CF30C4"/>
    <w:rsid w:val="00CF6CFA"/>
    <w:rsid w:val="00D02E23"/>
    <w:rsid w:val="00D102AA"/>
    <w:rsid w:val="00D11009"/>
    <w:rsid w:val="00D131B2"/>
    <w:rsid w:val="00D23D4C"/>
    <w:rsid w:val="00D243E7"/>
    <w:rsid w:val="00D24469"/>
    <w:rsid w:val="00D24893"/>
    <w:rsid w:val="00D25711"/>
    <w:rsid w:val="00D312D2"/>
    <w:rsid w:val="00D360F2"/>
    <w:rsid w:val="00D43612"/>
    <w:rsid w:val="00D4393D"/>
    <w:rsid w:val="00D50FCB"/>
    <w:rsid w:val="00D52CBF"/>
    <w:rsid w:val="00D541A5"/>
    <w:rsid w:val="00D5763B"/>
    <w:rsid w:val="00D576CA"/>
    <w:rsid w:val="00D60913"/>
    <w:rsid w:val="00D662AA"/>
    <w:rsid w:val="00D66F04"/>
    <w:rsid w:val="00D678AC"/>
    <w:rsid w:val="00D71AF3"/>
    <w:rsid w:val="00D75213"/>
    <w:rsid w:val="00D75E7A"/>
    <w:rsid w:val="00D82847"/>
    <w:rsid w:val="00D83918"/>
    <w:rsid w:val="00D83D1B"/>
    <w:rsid w:val="00D85ADE"/>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1EB6"/>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6D4C"/>
    <w:rsid w:val="00F60098"/>
    <w:rsid w:val="00F63E20"/>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c.europa.eu/europeaid/funding/communication-and-visibility-manual-eu-external-actions_en"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obeready@mod.gov.a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4CAC5-D1EB-4D78-80EF-3D808D1B470B}">
  <ds:schemaRefs>
    <ds:schemaRef ds:uri="http://schemas.microsoft.com/sharepoint/v3/contenttype/forms"/>
  </ds:schemaRefs>
</ds:datastoreItem>
</file>

<file path=customXml/itemProps2.xml><?xml version="1.0" encoding="utf-8"?>
<ds:datastoreItem xmlns:ds="http://schemas.openxmlformats.org/officeDocument/2006/customXml" ds:itemID="{A56B876B-081D-4160-9136-753381BFD0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CA6638-68CD-4083-9052-7DF20E26703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7C83C5D-0119-473D-B8EC-5AFE33C74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4</Pages>
  <Words>1150</Words>
  <Characters>6561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7696</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Valmira</cp:lastModifiedBy>
  <cp:revision>45</cp:revision>
  <cp:lastPrinted>2014-02-11T14:32:00Z</cp:lastPrinted>
  <dcterms:created xsi:type="dcterms:W3CDTF">2018-12-18T11:40:00Z</dcterms:created>
  <dcterms:modified xsi:type="dcterms:W3CDTF">2022-06-29T18:52:00Z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